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162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Установление и оспаривание отцовства (материнства) определяются законодательством государства, гражданином которого является ребенок по рождению.</w:t>
      </w:r>
    </w:p>
    <w:p>
      <w:pPr>
        <w:spacing w:after="120"/>
        <w:ind w:firstLine="709"/>
      </w:pPr>
      <w:r>
        <w:rPr>
          <w:sz w:val="24"/>
        </w:rPr>
        <w:t xml:space="preserve">2. Порядок установления и оспаривания отцовства (материнства) на территории Российской Федерации определяется законодательством Российской Федерации. В случаях, если законодательством Российской Федерации допускается установление отцовства (материнства) в органах записи актов гражданского состояния, проживающие за пределами территории Российской Федерации родители ребенка, из которых хотя бы один является гражданином Российской Федерации, вправе обращаться с заявлениями об установлении отцовства (материнства) в дипломатические представительства или в консульские учреждения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162</dc:title>
  <dc:creator>АРБИТРАЖ! · arbi.ru</dc:creator>
  <cp:lastModifiedBy>АРБИТРАЖ!</cp:lastModifiedBy>
  <dcterms:created xsi:type="dcterms:W3CDTF">2026-10-25T17:14:25.550Z</dcterms:created>
</cp:coreProperties>
</file>