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СК РФ, ст. 164</w:t>
      </w:r>
    </w:p>
    <w:p>
      <w:pPr>
        <w:spacing w:after="120"/>
        <w:ind w:firstLine="709"/>
      </w:pPr>
      <w:r>
        <w:rPr>
          <w:sz w:val="24"/>
        </w:rPr>
        <w:t xml:space="preserve">Акт: Семейный кодекс Российской Федерации № 223-ФЗ</w:t>
      </w:r>
    </w:p>
    <w:p>
      <w:pPr>
        <w:spacing w:after="120"/>
        <w:ind w:firstLine="709"/>
      </w:pPr>
      <w:r>
        <w:rPr>
          <w:sz w:val="24"/>
        </w:rPr>
        <w:t xml:space="preserve">Источник: https://www.consultant.ru/document/cons_doc_LAW_8982/</w:t>
      </w:r>
    </w:p>
    <w:p>
      <w:pPr>
        <w:spacing w:after="120"/>
        <w:ind w:firstLine="709"/>
      </w:pPr>
      <w:r>
        <w:rPr>
          <w:sz w:val="24"/>
        </w:rPr>
        <w:t xml:space="preserve">Раздел: Глава 22. Устройство детей, оставшихся без попечения родителей, в организации для детей-сирот и детей, оставшихся без попечения родителей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Алиментные обязательства совершеннолетних детей в пользу родителей, а также алиментные обязательства других членов семьи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такие обязательства определяются законодательством государства, гражданином которого является лицо, претендующее на получение алиментов.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СК РФ, ст. 164</dc:title>
  <dc:creator>АРБИТРАЖ! · arbi.ru</dc:creator>
  <cp:lastModifiedBy>АРБИТРАЖ!</cp:lastModifiedBy>
  <dcterms:created xsi:type="dcterms:W3CDTF">2026-10-25T19:21:36.850Z</dcterms:created>
</cp:coreProperties>
</file>