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толкованием, практикой применения и доктриной в соответствующем иностранном государстве.</w:t>
      </w:r>
    </w:p>
    <w:p>
      <w:pPr>
        <w:spacing w:after="120"/>
        <w:ind w:firstLine="709"/>
      </w:pPr>
      <w:r>
        <w:rPr>
          <w:sz w:val="24"/>
        </w:rPr>
        <w:t xml:space="preserve">В целях установления содержания норм иностранного семейного права суд,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Российской Федерации и в другие компетентные органы Российской Федерации либо привлечь экспертов.</w:t>
      </w:r>
    </w:p>
    <w:p>
      <w:pPr>
        <w:spacing w:after="120"/>
        <w:ind w:firstLine="709"/>
      </w:pPr>
      <w:r>
        <w:rPr>
          <w:sz w:val="24"/>
        </w:rPr>
        <w:t xml:space="preserve">Заинтересованные лица вправе представлять документы, подтверждающие содержание норм иностранного семейного права, на которые они ссылаются в обоснование своих требований или возражений, и иным образом содействовать суду или органам записи актов гражданского состояния и иным органам в установлении содержания норм иностранного семейного права.</w:t>
      </w:r>
    </w:p>
    <w:p>
      <w:pPr>
        <w:spacing w:after="120"/>
        <w:ind w:firstLine="709"/>
      </w:pPr>
      <w:r>
        <w:rPr>
          <w:sz w:val="24"/>
        </w:rPr>
        <w:t xml:space="preserve">2. Если содержание норм иностранного семейного права, несмотря на предпринятые в соответствии с пунктом 1 настоящей статьи меры, не установлено, применяется законодательство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166</dc:title>
  <dc:creator>АРБИТРАЖ! · arbi.ru</dc:creator>
  <cp:lastModifiedBy>АРБИТРАЖ!</cp:lastModifiedBy>
  <dcterms:created xsi:type="dcterms:W3CDTF">2026-10-25T21:45:03.892Z</dcterms:created>
</cp:coreProperties>
</file>