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Нормы иностранного семейного права не применяются в случае, если такое применение противоречило бы основам правопорядка (публичному порядку) Российской Федерации. В этом случае применяется законодательство Российской Федерации.</w:t>
      </w:r>
    </w:p>
    <w:p/>
    <w:p>
      <w:pPr>
        <w:spacing w:after="120"/>
        <w:ind w:firstLine="709"/>
      </w:pPr>
      <w:r>
        <w:rPr>
          <w:sz w:val="24"/>
        </w:rPr>
        <w:t xml:space="preserve">Раздел VIII. Заключительные положения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167</dc:title>
  <dc:creator>АРБИТРАЖ! · arbi.ru</dc:creator>
  <cp:lastModifiedBy>АРБИТРАЖ!</cp:lastModifiedBy>
  <dcterms:created xsi:type="dcterms:W3CDTF">2026-10-25T22:52:21.228Z</dcterms:created>
</cp:coreProperties>
</file>