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170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Впредь до приведения законов и иных нормативных правовых актов, действующих на территории Российской Федерации, в соответствие с настоящим Кодексом законы и иные нормативные правовые акты Российской Федерации применяются в пределах и в порядке, которые предусмотрены Конституцией Российской Федерации, постольку, поскольку они не противоречат настоящему Кодексу.</w:t>
      </w:r>
    </w:p>
    <w:p>
      <w:pPr>
        <w:spacing w:after="120"/>
        <w:ind w:firstLine="709"/>
      </w:pPr>
      <w:r>
        <w:rPr>
          <w:sz w:val="24"/>
        </w:rPr>
        <w:t xml:space="preserve">2. Поручить Правительству Российской Федерации в течение трех месяцев со дня принятия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привести в соответствие с настоящим Кодексом изданные им нормативные правовые акты;</w:t>
      </w:r>
    </w:p>
    <w:p>
      <w:pPr>
        <w:spacing w:after="120"/>
        <w:ind w:firstLine="709"/>
      </w:pPr>
      <w:r>
        <w:rPr>
          <w:sz w:val="24"/>
        </w:rPr>
        <w:t xml:space="preserve">подготовить и внести в установленном порядке предложения о внесении изменений и дополнений в законодательство Российской Федерации в связи с принятием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принять нормативные правовые акты, обеспечивающие реализацию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Б.ЕЛЬЦИН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29 декабря 1995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223-ФЗ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170</dc:title>
  <dc:creator>АРБИТРАЖ! · arbi.ru</dc:creator>
  <cp:lastModifiedBy>АРБИТРАЖ!</cp:lastModifiedBy>
  <dcterms:created xsi:type="dcterms:W3CDTF">2026-10-26T02:14:49.598Z</dcterms:created>
</cp:coreProperties>
</file>