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1. Основные начала трудового законодательства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Каждый имеет равные возможности для реализации своих трудовых прав.</w:t>
      </w:r>
    </w:p>
    <w:p>
      <w:pPr>
        <w:spacing w:after="120"/>
        <w:ind w:firstLine="709"/>
      </w:pPr>
      <w:r>
        <w:rPr>
          <w:sz w:val="24"/>
        </w:rPr>
        <w:t xml:space="preserve">Никто не может быть ограничен в трудовых правах и свободах или получать какие-либо преимущества в зависимости от пола, расы, цвета кожи, национальности, языка, происхождения, имущественного, семейного, социального и должностного положения, возраста, места жительства, отношения к религии, убеждений, принадлежности или непринадлежности к общественным объединениям или каким-либо социальным группам, а также от других обстоятельств, не связанных с деловыми качествами работника.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30.06.2006 N 90-ФЗ , от 02.07.2013 N 162-ФЗ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Не являются дискриминацией установление различий, исключений, предпочтений, а также ограничение прав работников, которые определяются свойственными данному виду труда требованиями, установленными федеральным законом , либо обусловлены особой заботой государства о лицах, нуждающихся в повышенной социальной и правовой защите, либо установлены настоящим Кодексом или в случаях и в порядке, которые им предусмотрены, в целях обеспечения национальной безопасности, поддержания оптимального баланса трудовых ресурсов, содействия в приоритетном порядке трудоустройству граждан Российской Федерации и в целях решения иных задач внутренней и внешней политики государства.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23.07.2013 N 204-ФЗ , от 01.12.2014 N 409-ФЗ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Лица, считающие, что они подверглись дискриминации в сфере труда, вправе обратиться в суд с заявлением о восстановлении нарушенных прав, возмещении материального вреда и компенсации морального вреда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</dc:title>
  <dc:creator>АРБИТРАЖ! · arbi.ru</dc:creator>
  <cp:lastModifiedBy>АРБИТРАЖ!</cp:lastModifiedBy>
  <dcterms:created xsi:type="dcterms:W3CDTF">2026-10-24T20:24:51.257Z</dcterms:created>
</cp:coreProperties>
</file>