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Регулирование трудовых отношений и иных непосредственно связанных с ними отношений в соответствии с Конституцией Российской Федерации, федеральными конституционными законами осуществляется:</w:t>
      </w:r>
    </w:p>
    <w:p>
      <w:pPr>
        <w:spacing w:after="120"/>
        <w:ind w:firstLine="709"/>
      </w:pPr>
      <w:r>
        <w:rPr>
          <w:sz w:val="24"/>
        </w:rPr>
        <w:t xml:space="preserve">трудовым законодательством (включая законодательство об охране труда), состоящим из настоящего Кодекса, иных федеральных законов и законов субъектов Российской Федерации,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иными нормативными правовыми актами, содержащими нормы трудового права:</w:t>
      </w:r>
    </w:p>
    <w:p>
      <w:pPr>
        <w:spacing w:after="120"/>
        <w:ind w:firstLine="709"/>
      </w:pPr>
      <w:r>
        <w:rPr>
          <w:sz w:val="24"/>
        </w:rPr>
        <w:t xml:space="preserve">указами Президента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постановлениями Правительства Российской Федерации и нормативными правовыми актами федеральных органов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нормативными правовыми актами органов исполнительной власти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Трудовые отношения и иные непосредственно связанные с ними отношения регулируются также коллективными договорами, соглашениями и локальными нормативными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Нормы трудового права, содержащиеся в иных федеральных законах, должны соответствовать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В случае противоречий между настоящим Кодексом и иным федеральным законом, содержащим нормы трудового права, применяется настоящий Кодекс.</w:t>
      </w:r>
    </w:p>
    <w:p>
      <w:pPr>
        <w:spacing w:after="120"/>
        <w:ind w:firstLine="709"/>
      </w:pPr>
      <w:r>
        <w:rPr>
          <w:sz w:val="24"/>
        </w:rPr>
        <w:t xml:space="preserve">Если вновь принятый федеральный закон, содержащий нормы трудового права, противоречит настоящему Кодексу, то этот федеральный закон применяется при условии внесения соответствующих изменений в настоящий Кодекс.</w:t>
      </w:r>
    </w:p>
    <w:p>
      <w:pPr>
        <w:spacing w:after="120"/>
        <w:ind w:firstLine="709"/>
      </w:pPr>
      <w:r>
        <w:rPr>
          <w:sz w:val="24"/>
        </w:rPr>
        <w:t xml:space="preserve">Внесение изменений в настоящий Кодекс, а также приостановление действия его положений или признание таких положений утратившими силу осуществляется отдельными федеральными законами. Положения, предусматривающие внесение изменений в настоящий Кодекс, приостановление действия его положений или признание таких положений утратившими силу, не могут быть включены в тексты федеральных законов, изменяющих другие законодательные акты Российской Федерации, приостанавливающих их действие или признающих их утратившими силу либо содержащих самостоятельный предмет 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29.07.2017 N 255-ФЗ)</w:t>
      </w:r>
    </w:p>
    <w:p>
      <w:pPr>
        <w:spacing w:after="120"/>
        <w:ind w:firstLine="709"/>
      </w:pPr>
      <w:r>
        <w:rPr>
          <w:sz w:val="24"/>
        </w:rPr>
        <w:t xml:space="preserve">Указы Президента Российской Федерации, содержащие нормы трудового права, не должны противоречить настоящему Кодексу и иным федеральным законам.</w:t>
      </w:r>
    </w:p>
    <w:p>
      <w:pPr>
        <w:spacing w:after="120"/>
        <w:ind w:firstLine="709"/>
      </w:pPr>
      <w:r>
        <w:rPr>
          <w:sz w:val="24"/>
        </w:rPr>
        <w:t xml:space="preserve">Постановления Правительства Российской Федерации, содержащие нормы трудового права, не должны противоречить настоящему Кодексу, иным федеральным законам и указам Президента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Нормативные правовые акты федеральных органов исполнительной власти, содержащие нормы трудового права, не должны противоречить настоящему Кодексу, иным федеральным законам, указам Президента Российской Федерации и постановлениям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Законы субъектов Российской Федерации, содержащие нормы трудового права, не должны противоречить настоящему Кодексу и иным федеральным законам. Нормативные правовые акты органов исполнительной власти субъектов Российской Федерации не должны противоречить настоящему Кодексу, иным федеральным законам, указам Президента Российской Федерации, постановлениям Правительства Российской Федерации и нормативным правовым актам федеральных органов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Органы местного самоуправления имеют право принимать нормативные правовые акты, содержащие нормы трудового права, в пределах своей компетенции в соответствии с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</dc:title>
  <dc:creator>АРБИТРАЖ! · arbi.ru</dc:creator>
  <cp:lastModifiedBy>АРБИТРАЖ!</cp:lastModifiedBy>
  <dcterms:created xsi:type="dcterms:W3CDTF">2026-10-24T18:23:07.613Z</dcterms:created>
</cp:coreProperties>
</file>