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соответствии с трудовым законодательством регулирование трудовых отношений и иных непосредственно связанных с ними отношений может осуществляться путем заключения, изменения, дополнения работниками и работодателями коллективных договоров, соглашений, трудовых договоров.</w:t>
      </w:r>
    </w:p>
    <w:p>
      <w:pPr>
        <w:spacing w:after="120"/>
        <w:ind w:firstLine="709"/>
      </w:pPr>
      <w:r>
        <w:rPr>
          <w:sz w:val="24"/>
        </w:rPr>
        <w:t xml:space="preserve">Коллективные договоры, соглашения, трудовые договоры не могут содержать условий, ограничивающих права или снижающих уровень гарантий работников по сравнению с установленными трудовым законодательством и иными нормативными правовыми актами, содержащими нормы трудового права. Если такие условия включены в коллективный договор, соглашение или трудовой договор, то они не подлежат применению.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9</dc:title>
  <dc:creator>АРБИТРАЖ! · arbi.ru</dc:creator>
  <cp:lastModifiedBy>АРБИТРАЖ!</cp:lastModifiedBy>
  <dcterms:created xsi:type="dcterms:W3CDTF">2026-10-24T14:20:03.718Z</dcterms:created>
</cp:coreProperties>
</file>