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14 ТК РФ</w:t>
      </w:r>
    </w:p>
    <w:p>
      <w:pPr>
        <w:spacing w:after="120"/>
        <w:ind w:firstLine="709"/>
      </w:pPr>
      <w:r>
        <w:rPr>
          <w:sz w:val="24"/>
        </w:rPr>
        <w:t xml:space="preserve">- Сроки обращения в суд о взыскании с работника ущерба</w:t>
      </w:r>
    </w:p>
    <w:p>
      <w:pPr>
        <w:spacing w:after="120"/>
        <w:ind w:firstLine="709"/>
      </w:pPr>
      <w:r>
        <w:rPr>
          <w:sz w:val="24"/>
        </w:rPr>
        <w:t xml:space="preserve">Течение сроков, с которыми настоящий Кодекс связывает возникновение трудовых прав и обязанностей, начинается с календарной даты, которой определено начало возникновения указанных прав и обязанностей.</w:t>
      </w:r>
    </w:p>
    <w:p>
      <w:pPr>
        <w:spacing w:after="120"/>
        <w:ind w:firstLine="709"/>
      </w:pPr>
      <w:r>
        <w:rPr>
          <w:sz w:val="24"/>
        </w:rPr>
        <w:t xml:space="preserve">Течение сроков, с которыми настоящий Кодекс связывает прекращение трудовых прав и обязанностей, начинается на следующий день после календарной даты, которой определено окончание 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Сроки, исчисляемые годами, месяцами, неделями, истекают в соответствующее число последнего года, месяца или недели срока. В срок, исчисляемый в календарных неделях или днях, включаются и нерабочие дни.</w:t>
      </w:r>
    </w:p>
    <w:p>
      <w:pPr>
        <w:spacing w:after="120"/>
        <w:ind w:firstLine="709"/>
      </w:pPr>
      <w:r>
        <w:rPr>
          <w:sz w:val="24"/>
        </w:rPr>
        <w:t xml:space="preserve">Если последний день срока приходится на нерабочий день, то днем окончания срока считается ближайший следующий за ним рабочий день.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</dc:title>
  <dc:creator>АРБИТРАЖ! · arbi.ru</dc:creator>
  <cp:lastModifiedBy>АРБИТРАЖ!</cp:lastModifiedBy>
  <dcterms:created xsi:type="dcterms:W3CDTF">2026-10-24T09:35:39.258Z</dcterms:created>
</cp:coreProperties>
</file>