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Сторонами социального партнерства являются работники и работодатели в лице уполномоченных в установленном порядке представителей.</w:t>
      </w:r>
    </w:p>
    <w:p>
      <w:pPr>
        <w:spacing w:after="120"/>
        <w:ind w:firstLine="709"/>
      </w:pPr>
      <w:r>
        <w:rPr>
          <w:sz w:val="24"/>
        </w:rPr>
        <w:t xml:space="preserve">Органы государственной власти и органы местного самоуправления являются сторонами социального партнерства в случаях, когда они выступают в качестве работодателей, а также в других случаях, предусмотренных трудовым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25</dc:title>
  <dc:creator>АРБИТРАЖ! · arbi.ru</dc:creator>
  <cp:lastModifiedBy>АРБИТРАЖ!</cp:lastModifiedBy>
  <dcterms:created xsi:type="dcterms:W3CDTF">2026-10-23T19:50:30.833Z</dcterms:created>
</cp:coreProperties>
</file>