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Представители работников и работодателей в социальном партнерстве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случаях, когда работники данного работодателя не объединены в какие-либо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порядке, установленном настоящим Кодексом, представлять интересы всех работников в социальном партнерстве на локальном уровне, на общем собрании (конференции) работников для осуществления указанных полномочий тайным голосованием может быть избран из числа работников иной представитель (представительный орган).</w:t>
      </w:r>
    </w:p>
    <w:p>
      <w:pPr>
        <w:spacing w:after="120"/>
        <w:ind w:firstLine="709"/>
      </w:pPr>
      <w:r>
        <w:rPr>
          <w:sz w:val="24"/>
        </w:rPr>
        <w:t xml:space="preserve">Наличие иного представителя не может являться препятствием для осуществления первичными профсоюзными организациями своих полномочий.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</dc:title>
  <dc:creator>АРБИТРАЖ! · arbi.ru</dc:creator>
  <cp:lastModifiedBy>АРБИТРАЖ!</cp:lastModifiedBy>
  <dcterms:created xsi:type="dcterms:W3CDTF">2026-10-23T13:12:52.278Z</dcterms:created>
</cp:coreProperties>
</file>