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Представители работников и работодателей в социальном партнерстве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32 ТК РФ</w:t>
      </w:r>
    </w:p>
    <w:p>
      <w:pPr>
        <w:spacing w:after="120"/>
        <w:ind w:firstLine="709"/>
      </w:pPr>
      <w:r>
        <w:rPr>
          <w:sz w:val="24"/>
        </w:rPr>
        <w:t xml:space="preserve">- Право на условия, обеспечивающие деятельность профсоюзов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создавать условия, обеспечивающие деятельность представителей работников, в соответствии с трудовым законодательством, коллективным договором, соглашениями.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</dc:title>
  <dc:creator>АРБИТРАЖ! · arbi.ru</dc:creator>
  <cp:lastModifiedBy>АРБИТРАЖ!</cp:lastModifiedBy>
  <dcterms:created xsi:type="dcterms:W3CDTF">2026-10-23T12:01:57.704Z</dcterms:created>
</cp:coreProperties>
</file>