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7. Коллективные договоры и соглашения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44 ТК РФ</w:t>
      </w:r>
    </w:p>
    <w:p>
      <w:pPr>
        <w:spacing w:after="120"/>
        <w:ind w:firstLine="709"/>
      </w:pPr>
      <w:r>
        <w:rPr>
          <w:sz w:val="24"/>
        </w:rPr>
        <w:t xml:space="preserve">- Как внести изменения в коллективный договор</w:t>
      </w:r>
    </w:p>
    <w:p>
      <w:pPr>
        <w:spacing w:after="120"/>
        <w:ind w:firstLine="709"/>
      </w:pPr>
      <w:r>
        <w:rPr>
          <w:sz w:val="24"/>
        </w:rPr>
        <w:t xml:space="preserve">Изменение и дополнение коллективного договора производятся в порядке, установленном настоящим Кодексом для его заключения, либо в порядке, установленном коллективным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44</dc:title>
  <dc:creator>АРБИТРАЖ! · arbi.ru</dc:creator>
  <cp:lastModifiedBy>АРБИТРАЖ!</cp:lastModifiedBy>
  <dcterms:created xsi:type="dcterms:W3CDTF">2026-10-22T19:58:08.670Z</dcterms:created>
</cp:coreProperties>
</file>