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60.1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60.1 ТК РФ</w:t>
      </w:r>
    </w:p>
    <w:p>
      <w:pPr>
        <w:spacing w:after="120"/>
        <w:ind w:firstLine="709"/>
      </w:pPr>
      <w:r>
        <w:rPr>
          <w:sz w:val="24"/>
        </w:rPr>
        <w:t xml:space="preserve">- Какие есть особенности оформления приема на работу внешнего совместителя</w:t>
      </w:r>
    </w:p>
    <w:p>
      <w:pPr>
        <w:spacing w:after="120"/>
        <w:ind w:firstLine="709"/>
      </w:pPr>
      <w:r>
        <w:rPr>
          <w:sz w:val="24"/>
        </w:rPr>
        <w:t xml:space="preserve">- Как оформить перевод внешнего совместителя в основные работники</w:t>
      </w:r>
    </w:p>
    <w:p>
      <w:pPr>
        <w:spacing w:after="120"/>
        <w:ind w:firstLine="709"/>
      </w:pPr>
      <w:r>
        <w:rPr>
          <w:sz w:val="24"/>
        </w:rPr>
        <w:t xml:space="preserve">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труда лиц, работающих по совместительству, определяются главой 44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60.1</dc:title>
  <dc:creator>АРБИТРАЖ! · arbi.ru</dc:creator>
  <cp:lastModifiedBy>АРБИТРАЖ!</cp:lastModifiedBy>
  <dcterms:created xsi:type="dcterms:W3CDTF">2026-10-23T13:12:51.773Z</dcterms:created>
</cp:coreProperties>
</file>