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65 ТК РФ</w:t>
      </w:r>
    </w:p>
    <w:p>
      <w:pPr>
        <w:spacing w:after="120"/>
        <w:ind w:firstLine="709"/>
      </w:pPr>
      <w:r>
        <w:rPr>
          <w:sz w:val="24"/>
        </w:rPr>
        <w:t xml:space="preserve">- Какими документами подтверждается инвалидность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настоящим Кодексом, другими федеральными законами, при заключении трудового договора лицо, поступающее на работу, предъявляет работодателю: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паспорт или иной документ , удостоверяющий личность;</w:t>
      </w:r>
    </w:p>
    <w:p>
      <w:pPr>
        <w:spacing w:after="120"/>
        <w:ind w:firstLine="709"/>
      </w:pPr>
      <w:r>
        <w:rPr>
          <w:sz w:val="24"/>
        </w:rPr>
        <w:t xml:space="preserve">трудовую книжку и (или) сведения о трудовой деятельности ( статья 66.1 настоящего Кодекса), за исключением случаев, если трудовой договор заключается впервые;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 , подтверждающий регистрацию в системе индивидуального (персонифицированного) учета, в том числе в форме электронного документа;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01.04.2019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 воинского учета - для военнообязанных и лиц, подлежащих призыву на военную службу;</w:t>
      </w:r>
    </w:p>
    <w:p>
      <w:pPr>
        <w:spacing w:after="120"/>
        <w:ind w:firstLine="709"/>
      </w:pPr>
      <w:r>
        <w:rPr>
          <w:sz w:val="24"/>
        </w:rPr>
        <w:t xml:space="preserve">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настоящим Кодексом , иным федеральным законом не допускаются лица, имеющие или имевшие судимость, подвергающиеся или подвергавшиеся уголовному преследованию;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23.12.2010 N 387-ФЗ)</w:t>
      </w:r>
    </w:p>
    <w:p>
      <w:pPr>
        <w:spacing w:after="120"/>
        <w:ind w:firstLine="709"/>
      </w:pPr>
      <w:r>
        <w:rPr>
          <w:sz w:val="24"/>
        </w:rPr>
        <w:t xml:space="preserve">справку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веществ, которая выдана в порядке и по форме 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федеральными законами не допускаются лица,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веществ, до окончания срока, в течение которого лицо считается подвергнутым административному наказанию.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13.07.2015 N 230-ФЗ)</w:t>
      </w:r>
    </w:p>
    <w:p>
      <w:pPr>
        <w:spacing w:after="120"/>
        <w:ind w:firstLine="709"/>
      </w:pPr>
      <w:r>
        <w:rPr>
          <w:sz w:val="24"/>
        </w:rPr>
        <w:t xml:space="preserve">В отдельных случаях с учетом специфики работы настоящим Кодексом , иными федеральными законами ,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документов.</w:t>
      </w:r>
    </w:p>
    <w:p>
      <w:pPr>
        <w:spacing w:after="120"/>
        <w:ind w:firstLine="709"/>
      </w:pPr>
      <w:r>
        <w:rPr>
          <w:sz w:val="24"/>
        </w:rPr>
        <w:t xml:space="preserve">Запрещается требовать от лица, поступающего на работу, документы помимо предусмотренных настоящим Кодексом, иными федеральными законами, указами Президента Российской Федерации и постановлениями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 впервые работодателем оформляется трудовая книжка (за исключением случаев, если в соответствии с настоящим Кодексом , иным федеральным законом трудовая книжка на работника не оформляется). В случае, если на лицо, поступающее на работу впервые, не был открыт индивидуальный лицевой счет, работодателем представляются в соответствующий территориальный орган Фонда пенсионного и социального страхования Российской Федерации сведения, необходимые для регистрации указанного лица в системе индивидуального (персонифицированного) учета.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01.04.2019 N 48-ФЗ , от 16.12.2019 N 439-ФЗ , от 14.07.2022 N 240-ФЗ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отсутствия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 (за исключением случаев, если в соответствии с настоящим Кодексом , иным федеральным законом трудовая книжка на работника не ведется).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30.06.2006 N 90-ФЗ; 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65</dc:title>
  <dc:creator>АРБИТРАЖ! · arbi.ru</dc:creator>
  <cp:lastModifiedBy>АРБИТРАЖ!</cp:lastModifiedBy>
  <dcterms:created xsi:type="dcterms:W3CDTF">2026-10-23T12:02:40.563Z</dcterms:created>
</cp:coreProperties>
</file>