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трудовым спорам. Вопросы применения ст. 68 ТК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результатам испытания, если работника при приеме не ознакомили с должностной инструкцией</w:t>
      </w:r>
    </w:p>
    <w:p>
      <w:pPr>
        <w:spacing w:after="120"/>
        <w:ind w:firstLine="709"/>
      </w:pPr>
      <w:r>
        <w:rPr>
          <w:sz w:val="24"/>
        </w:rPr>
        <w:t xml:space="preserve">Прием на работу оформляется трудовым договором. Работодатель вправе издать на основании заключенного трудового договора приказ (распоряжение) о приеме на работу. Содержание приказа (распоряжения) работодателя должно соответствовать условиям заключенного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22.11.2021 N 377-ФЗ)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силу. - Федеральный закон от 22.11.2021 N 377-ФЗ.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приеме на работу (до подписания трудового договора) работодатель обязан ознакомить работника под роспись с правилами внутреннего трудового распорядка, иными локальными нормативными актами, непосредственно связанными с трудовой деятельностью работника, коллективным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68</dc:title>
  <dc:creator>АРБИТРАЖ! · arbi.ru</dc:creator>
  <cp:lastModifiedBy>АРБИТРАЖ!</cp:lastModifiedBy>
  <dcterms:created xsi:type="dcterms:W3CDTF">2026-10-23T14:33:02.281Z</dcterms:created>
</cp:coreProperties>
</file>