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69 ТК РФ</w:t>
      </w:r>
    </w:p>
    <w:p>
      <w:pPr>
        <w:spacing w:after="120"/>
        <w:ind w:firstLine="709"/>
      </w:pPr>
      <w:r>
        <w:rPr>
          <w:sz w:val="24"/>
        </w:rPr>
        <w:t xml:space="preserve">- Обязательные медосмотры некоторых категорий работников</w:t>
      </w:r>
    </w:p>
    <w:p>
      <w:pPr>
        <w:spacing w:after="120"/>
        <w:ind w:firstLine="709"/>
      </w:pPr>
      <w:r>
        <w:rPr>
          <w:sz w:val="24"/>
        </w:rPr>
        <w:t xml:space="preserve">Обязательному предварительному медицинскому осмотру при заключении трудового договора подлежат лица, не достигшие возраста восемнадцати лет, а также иные лица в случаях, предусмотренных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69</dc:title>
  <dc:creator>АРБИТРАЖ! · arbi.ru</dc:creator>
  <cp:lastModifiedBy>АРБИТРАЖ!</cp:lastModifiedBy>
  <dcterms:created xsi:type="dcterms:W3CDTF">2026-10-23T13:23:38.310Z</dcterms:created>
</cp:coreProperties>
</file>