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14. Защита персональных данных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87 ТК РФ</w:t>
      </w:r>
    </w:p>
    <w:p>
      <w:pPr>
        <w:spacing w:after="120"/>
        <w:ind w:firstLine="709"/>
      </w:pPr>
      <w:r>
        <w:rPr>
          <w:sz w:val="24"/>
        </w:rPr>
        <w:t xml:space="preserve">- Организация учета и хранения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- Оформление Положения об обработке и защите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Порядок хранения и использования персональных данных работников устанавливается работодателем с соблюдением требований настоящего Кодекса и иных федеральных законов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87</dc:title>
  <dc:creator>АРБИТРАЖ! · arbi.ru</dc:creator>
  <cp:lastModifiedBy>АРБИТРАЖ!</cp:lastModifiedBy>
  <dcterms:created xsi:type="dcterms:W3CDTF">2026-10-23T07:47:28.129Z</dcterms:created>
</cp:coreProperties>
</file>