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95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95 ТК РФ</w:t>
      </w:r>
    </w:p>
    <w:p>
      <w:pPr>
        <w:spacing w:after="120"/>
        <w:ind w:firstLine="709"/>
      </w:pPr>
      <w:r>
        <w:rPr>
          <w:sz w:val="24"/>
        </w:rPr>
        <w:t xml:space="preserve">- Какие нормы рабочего дня установлены для работников</w:t>
      </w:r>
    </w:p>
    <w:p>
      <w:pPr>
        <w:spacing w:after="120"/>
        <w:ind w:firstLine="709"/>
      </w:pPr>
      <w:r>
        <w:rPr>
          <w:sz w:val="24"/>
        </w:rPr>
        <w:t xml:space="preserve">- Как меняется продолжительность работы в предпраздничный день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рабочего дня или смены, непосредственно предшествующих нерабочему праздничному дню, уменьшается на один час.</w:t>
      </w:r>
    </w:p>
    <w:p>
      <w:pPr>
        <w:spacing w:after="120"/>
        <w:ind w:firstLine="709"/>
      </w:pPr>
      <w:r>
        <w:rPr>
          <w:sz w:val="24"/>
        </w:rPr>
        <w:t xml:space="preserve">В непрерывно действующих организациях и на отдельных видах работ, где невозможно уменьшение продолжительности работы (смены) в предпраздничный день, переработка компенсируется предоставлением работнику дополнительного времени отдыха или, с согласия работника, оплатой по нормам, установленным для сверхурочной работы.</w:t>
      </w:r>
    </w:p>
    <w:p>
      <w:pPr>
        <w:spacing w:after="120"/>
        <w:ind w:firstLine="709"/>
      </w:pPr>
      <w:r>
        <w:rPr>
          <w:sz w:val="24"/>
        </w:rPr>
        <w:t xml:space="preserve">Накануне выходных дней продолжительность работы при шестидневной рабочей неделе не может превышать пяти часов.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95</dc:title>
  <dc:creator>АРБИТРАЖ! · arbi.ru</dc:creator>
  <cp:lastModifiedBy>АРБИТРАЖ!</cp:lastModifiedBy>
  <dcterms:created xsi:type="dcterms:W3CDTF">2026-10-23T16:38:56.248Z</dcterms:created>
</cp:coreProperties>
</file>