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97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97 ТК РФ</w:t>
      </w:r>
    </w:p>
    <w:p>
      <w:pPr>
        <w:spacing w:after="120"/>
        <w:ind w:firstLine="709"/>
      </w:pPr>
      <w:r>
        <w:rPr>
          <w:sz w:val="24"/>
        </w:rPr>
        <w:t xml:space="preserve">- Что такое сверхурочная работа</w:t>
      </w:r>
    </w:p>
    <w:p>
      <w:pPr>
        <w:spacing w:after="120"/>
        <w:ind w:firstLine="709"/>
      </w:pPr>
      <w:r>
        <w:rPr>
          <w:sz w:val="24"/>
        </w:rPr>
        <w:t xml:space="preserve">- Кому можно установить ненормированный рабочий день</w:t>
      </w:r>
    </w:p>
    <w:p>
      <w:pPr>
        <w:spacing w:after="120"/>
        <w:ind w:firstLine="709"/>
      </w:pPr>
      <w:r>
        <w:rPr>
          <w:sz w:val="24"/>
        </w:rPr>
        <w:t xml:space="preserve">Работодатель имеет право в порядке, установленном настоящим Кодексом, привлекать работника к работе за пределами продолжительности рабочего времени, установленной для данного работника в соответствии с настоящим Кодексом, другими федеральными законами и иными нормативными правовыми актами Российской Федерации, коллективным договором, соглашениями, локальными нормативными актами, трудовым договором (далее - установленная для работника продолжительность рабочего времени):</w:t>
      </w:r>
    </w:p>
    <w:p>
      <w:pPr>
        <w:spacing w:after="120"/>
        <w:ind w:firstLine="709"/>
      </w:pPr>
      <w:r>
        <w:rPr>
          <w:sz w:val="24"/>
        </w:rPr>
        <w:t xml:space="preserve">для сверхурочной работы ( статья 99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если работник работает на условиях ненормированного рабочего дня ( статья 101 настоящего Кодекса).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97</dc:title>
  <dc:creator>АРБИТРАЖ! · arbi.ru</dc:creator>
  <cp:lastModifiedBy>АРБИТРАЖ!</cp:lastModifiedBy>
  <dcterms:created xsi:type="dcterms:W3CDTF">2026-10-23T18:58:08.375Z</dcterms:created>
</cp:coreProperties>
</file>