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120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Отпуска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120 ТК РФ</w:t>
      </w:r>
    </w:p>
    <w:p>
      <w:pPr>
        <w:spacing w:after="120"/>
        <w:ind w:firstLine="709"/>
      </w:pPr>
      <w:r>
        <w:rPr>
          <w:sz w:val="24"/>
        </w:rPr>
        <w:t xml:space="preserve">- Какова продолжительность ежегодного основного оплачиваемого отпуска (срок отпуска в календарных днях)</w:t>
      </w:r>
    </w:p>
    <w:p>
      <w:pPr>
        <w:spacing w:after="120"/>
        <w:ind w:firstLine="709"/>
      </w:pPr>
      <w:r>
        <w:rPr>
          <w:sz w:val="24"/>
        </w:rPr>
        <w:t xml:space="preserve">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ограничивается. Нерабочие праздничные дни , приходящиеся на период ежегодного основного или ежегодного дополнительного оплачиваемого отпуска, в число календарных дней отпуска не включаются.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120</dc:title>
  <dc:creator>АРБИТРАЖ! · arbi.ru</dc:creator>
  <cp:lastModifiedBy>АРБИТРАЖ!</cp:lastModifiedBy>
  <dcterms:created xsi:type="dcterms:W3CDTF">2026-10-23T17:31:21.407Z</dcterms:created>
</cp:coreProperties>
</file>