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123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Отпуска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123 ТК РФ</w:t>
      </w:r>
    </w:p>
    <w:p>
      <w:pPr>
        <w:spacing w:after="120"/>
        <w:ind w:firstLine="709"/>
      </w:pPr>
      <w:r>
        <w:rPr>
          <w:sz w:val="24"/>
        </w:rPr>
        <w:t xml:space="preserve">- Как заполнить график отпусков</w:t>
      </w:r>
    </w:p>
    <w:p>
      <w:pPr>
        <w:spacing w:after="120"/>
        <w:ind w:firstLine="709"/>
      </w:pPr>
      <w:r>
        <w:rPr>
          <w:sz w:val="24"/>
        </w:rPr>
        <w:t xml:space="preserve">- Как внести изменения в график отпусков</w:t>
      </w:r>
    </w:p>
    <w:p>
      <w:pPr>
        <w:spacing w:after="120"/>
        <w:ind w:firstLine="709"/>
      </w:pPr>
      <w:r>
        <w:rPr>
          <w:sz w:val="24"/>
        </w:rPr>
        <w:t xml:space="preserve">Очередность предоставления оплачиваемых отпусков определяется ежегодно в соответствии с графиком отпусков,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порядке, установленном статьей 372 настоящего Кодекса для принятия локальных нормативных актов.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График отпусков обязателен как для работодателя, так и для работника.</w:t>
      </w:r>
    </w:p>
    <w:p>
      <w:pPr>
        <w:spacing w:after="120"/>
        <w:ind w:firstLine="709"/>
      </w:pPr>
      <w:r>
        <w:rPr>
          <w:sz w:val="24"/>
        </w:rPr>
        <w:t xml:space="preserve">О времени начала отпуска работник должен быть извещен под роспись не позднее чем за две недели до его начала.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Отдельным категориям работников в случаях, предусмотренных настоящим Кодексом и иными федеральными законами , ежегодный оплачиваемый отпуск предоставляется по их желанию в удобное для них время.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123</dc:title>
  <dc:creator>АРБИТРАЖ! · arbi.ru</dc:creator>
  <cp:lastModifiedBy>АРБИТРАЖ!</cp:lastModifiedBy>
  <dcterms:created xsi:type="dcterms:W3CDTF">2026-10-23T12:01:53.605Z</dcterms:created>
</cp:coreProperties>
</file>