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131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20.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131 ТК РФ</w:t>
      </w:r>
    </w:p>
    <w:p>
      <w:pPr>
        <w:spacing w:after="120"/>
        <w:ind w:firstLine="709"/>
      </w:pPr>
      <w:r>
        <w:rPr>
          <w:sz w:val="24"/>
        </w:rPr>
        <w:t xml:space="preserve">- Какие существуют формы оплаты труда</w:t>
      </w:r>
    </w:p>
    <w:p>
      <w:pPr>
        <w:spacing w:after="120"/>
        <w:ind w:firstLine="709"/>
      </w:pPr>
      <w:r>
        <w:rPr>
          <w:sz w:val="24"/>
        </w:rPr>
        <w:t xml:space="preserve">Выплата заработной платы производится в денежной форме в валюте Российской Федерации (в рублях). В случаях, предусмотренных законодательством Российской Федерации о валютном регулировании и валютном контроле, выплата заработной платы может производиться в иностранной валюте.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05.02.2018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соответствии с коллективным договором или трудовым договором по письменному заявлению работника оплата труда может производиться и в иных формах, не противоречащих законодательству Российской Федерации и международным договорам Российской Федерации. Доля заработной платы, выплачиваемой в неденежной форме , не может превышать 20 процентов от начисленной месячной заработной платы.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Выплата заработной платы в бонах, купонах, в форме долговых обязательств, расписок, а также в виде спиртных напитков, наркотических, ядовитых, вредных и иных токсических веществ, оружия, боеприпасов и других предметов, в отношении которых установлены запреты или ограничения на их свободный оборот, не допускается.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131</dc:title>
  <dc:creator>АРБИТРАЖ! · arbi.ru</dc:creator>
  <cp:lastModifiedBy>АРБИТРАЖ!</cp:lastModifiedBy>
  <dcterms:created xsi:type="dcterms:W3CDTF">2026-10-23T03:36:37.996Z</dcterms:created>
</cp:coreProperties>
</file>