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134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134 ТК РФ</w:t>
      </w:r>
    </w:p>
    <w:p>
      <w:pPr>
        <w:spacing w:after="120"/>
        <w:ind w:firstLine="709"/>
      </w:pPr>
      <w:r>
        <w:rPr>
          <w:sz w:val="24"/>
        </w:rPr>
        <w:t xml:space="preserve">- Работник организации частного сектора требует индексации заработной платы</w:t>
      </w:r>
    </w:p>
    <w:p>
      <w:pPr>
        <w:spacing w:after="120"/>
        <w:ind w:firstLine="709"/>
      </w:pPr>
      <w:r>
        <w:rPr>
          <w:sz w:val="24"/>
        </w:rPr>
        <w:t xml:space="preserve">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услуги. Государственные органы, органы местного самоуправления, государственные и муниципальные учреждения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права, другие работодатели - в порядке, установленном коллективным договором, соглашениями, локальными нормативными актами.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02.04.2014 N 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134</dc:title>
  <dc:creator>АРБИТРАЖ! · arbi.ru</dc:creator>
  <cp:lastModifiedBy>АРБИТРАЖ!</cp:lastModifiedBy>
  <dcterms:created xsi:type="dcterms:W3CDTF">2026-10-23T01:34:30.336Z</dcterms:created>
</cp:coreProperties>
</file>