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135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21. Заработная плата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135 ТК РФ</w:t>
      </w:r>
    </w:p>
    <w:p>
      <w:pPr>
        <w:spacing w:after="120"/>
        <w:ind w:firstLine="709"/>
      </w:pPr>
      <w:r>
        <w:rPr>
          <w:sz w:val="24"/>
        </w:rPr>
        <w:t xml:space="preserve">- Что такое стимулирующие выплаты и как их установить</w:t>
      </w:r>
    </w:p>
    <w:p>
      <w:pPr>
        <w:spacing w:after="120"/>
        <w:ind w:firstLine="709"/>
      </w:pPr>
      <w:r>
        <w:rPr>
          <w:sz w:val="24"/>
        </w:rPr>
        <w:t xml:space="preserve">- Как изменить условия оплаты труда (в том числе при снижении зарплаты)</w:t>
      </w:r>
    </w:p>
    <w:p>
      <w:pPr>
        <w:spacing w:after="120"/>
        <w:ind w:firstLine="709"/>
      </w:pPr>
      <w:r>
        <w:rPr>
          <w:sz w:val="24"/>
        </w:rPr>
        <w:t xml:space="preserve">- Что такое компенсационные выплаты и какие они бывают</w:t>
      </w:r>
    </w:p>
    <w:p>
      <w:pPr>
        <w:spacing w:after="120"/>
        <w:ind w:firstLine="709"/>
      </w:pPr>
      <w:r>
        <w:rPr>
          <w:sz w:val="24"/>
        </w:rPr>
        <w:t xml:space="preserve">Заработная плата работнику устанавливается трудовым договором в соответствии с действующими у данного работодателя системами оплаты труда.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2 ст. 135 см. Постановление КС РФ от 17.03.2026 N 15-П.</w:t>
      </w:r>
    </w:p>
    <w:p>
      <w:pPr>
        <w:spacing w:after="120"/>
        <w:ind w:firstLine="709"/>
      </w:pPr>
      <w:r>
        <w:rPr>
          <w:sz w:val="24"/>
        </w:rPr>
        <w:t xml:space="preserve">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права.</w:t>
      </w:r>
    </w:p>
    <w:p>
      <w:pPr>
        <w:spacing w:after="120"/>
        <w:ind w:firstLine="709"/>
      </w:pPr>
      <w:r>
        <w:rPr>
          <w:sz w:val="24"/>
        </w:rPr>
        <w:t xml:space="preserve">При установлении систем премирования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права, определяются виды премий и их размеры, сроки, основания и условия выплаты премий работникам, в том числе с учетом качества, эффективности и продолжительности работы, наличия или отсутствия у работника дисциплинарного взыскания и других показателей. При этом в локальном нормативном акте, устанавливающем систему премирования, работодатель с учетом мнения выборного органа первичной профсоюзной организации в порядке, установленном статьей 372 настоящего Кодекса для принятия локальных нормативных актов, вправе предусмотреть условие о том, что снижение размера премии работнику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 заработной платы работника премий, которые начисляются за период, в котором к работнику было применено соответствующее дисциплинарное взыскание, а размер такого снижения премии не может приводить к уменьшению размера месячной заработной платы работника более чем на 20 процентов.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07.06.2025 N 144-ФЗ)</w:t>
      </w:r>
    </w:p>
    <w:p>
      <w:pPr>
        <w:spacing w:after="120"/>
        <w:ind w:firstLine="709"/>
      </w:pPr>
      <w:r>
        <w:rPr>
          <w:sz w:val="24"/>
        </w:rPr>
        <w:t xml:space="preserve">Российская трехсторонняя комиссия по регулированию социально-трудовых отношений ежегодно до внесения в Государственную Думу Федерального Собрания Российской Федерации проекта федерального закона о федеральном бюджете на очередной финансовый год и плановый период разрабатывает единые рекомендации по установлению на федеральном, региональном и местном уровнях систем оплаты труда работников государственных и муниципальных учреждений. Указанные рекомендации учитываются Правительством Российской Федерации, органами исполнительной власти субъектов Российской Федерации и органами местного самоуправления при определении объемов финансового обеспечения деятельности государственных и муниципальных учреждений, в том числе в сфере здравоохранения, образования, науки, культуры. Если стороны Российской трехсторонней комиссии по регулированию социально-трудовых отношений не достигли соглашения, указанные рекомендации утверждаются Правительством Российской Федерации, а мнение сторон Российской трехсторонней комиссии по регулированию социально-трудовых отношений доводится до субъектов Российской Федерации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20.04.2007 N 54-ФЗ , от 25.11.2013 N 317-ФЗ , от 02.04.2014 N 55-ФЗ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Локальные нормативные акты, устанавливающие системы оплаты труда, принимаются работодателем с учетом мнения представительного органа работников.</w:t>
      </w:r>
    </w:p>
    <w:p>
      <w:pPr>
        <w:spacing w:after="120"/>
        <w:ind w:firstLine="709"/>
      </w:pPr>
      <w:r>
        <w:rPr>
          <w:sz w:val="24"/>
        </w:rPr>
        <w:t xml:space="preserve">Условия оплаты труда, определенные трудовым договором, не могут быть ухудшены по сравнению с установленными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актами.</w:t>
      </w:r>
    </w:p>
    <w:p>
      <w:pPr>
        <w:spacing w:after="120"/>
        <w:ind w:firstLine="709"/>
      </w:pPr>
      <w:r>
        <w:rPr>
          <w:sz w:val="24"/>
        </w:rPr>
        <w:t xml:space="preserve">Условия оплаты труда, определенные коллективным договором, соглашениями, локальными нормативными актами, не могут быть ухудшены по сравнению с установленными трудовым законодательством и иными нормативными правовыми актами, содержащими нормы трудового права.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135</dc:title>
  <dc:creator>АРБИТРАЖ! · arbi.ru</dc:creator>
  <cp:lastModifiedBy>АРБИТРАЖ!</cp:lastModifiedBy>
  <dcterms:created xsi:type="dcterms:W3CDTF">2026-10-23T02:35:00.713Z</dcterms:created>
</cp:coreProperties>
</file>