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144 ТК РФ</w:t>
      </w:r>
    </w:p>
    <w:p>
      <w:pPr>
        <w:spacing w:after="120"/>
        <w:ind w:firstLine="709"/>
      </w:pPr>
      <w:r>
        <w:rPr>
          <w:sz w:val="24"/>
        </w:rPr>
        <w:t xml:space="preserve">- Работник хочет признать незаконным (полностью или в части) локальный нормативный акт, устанавливающий систему оплаты труда</w:t>
      </w:r>
    </w:p>
    <w:p>
      <w:pPr>
        <w:spacing w:after="120"/>
        <w:ind w:firstLine="709"/>
      </w:pPr>
      <w:r>
        <w:rPr>
          <w:sz w:val="24"/>
        </w:rPr>
        <w:t xml:space="preserve">Системы оплаты труда (в том числе тарифные системы оплаты труда) работников государственных и муниципальных учреждений устанавливаются:</w:t>
      </w:r>
    </w:p>
    <w:p>
      <w:pPr>
        <w:spacing w:after="120"/>
        <w:ind w:firstLine="709"/>
      </w:pPr>
      <w:r>
        <w:rPr>
          <w:sz w:val="24"/>
        </w:rPr>
        <w:t xml:space="preserve">в федеральных государственных учреждениях -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государственных учреждениях субъектов Российской Федерации -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муниципальных учреждениях -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 и 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Правительство Российской Федерации может устанавливать базовые оклады (базовые должностные оклады), базовые ставки заработной платы по профессиональным квалификационным группам.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20.04.2007 N 54-ФЗ , от 18.10.2007 N 230-ФЗ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(базовых должностных окладов), базовых ставок заработной платы соответствующих профессиональных квалификационных групп.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20.04.2007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Базовые оклады (базовые должностные оклады), базовые ставки заработной платы, установленные Правительством Российской Федерации, обеспечиваются:</w:t>
      </w:r>
    </w:p>
    <w:p>
      <w:pPr>
        <w:spacing w:after="120"/>
        <w:ind w:firstLine="709"/>
      </w:pPr>
      <w:r>
        <w:rPr>
          <w:sz w:val="24"/>
        </w:rPr>
        <w:t xml:space="preserve">федеральными государственными учреждениями - за счет средств федерального бюджета;</w:t>
      </w:r>
    </w:p>
    <w:p>
      <w:pPr>
        <w:spacing w:after="120"/>
        <w:ind w:firstLine="709"/>
      </w:pPr>
      <w:r>
        <w:rPr>
          <w:sz w:val="24"/>
        </w:rPr>
        <w:t xml:space="preserve">государственными учреждениями субъектов Российской Федерации - за счет средств бюджетов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муниципальными учреждениями - за счет средств местных бюджетов.</w:t>
      </w:r>
    </w:p>
    <w:p>
      <w:pPr>
        <w:spacing w:after="120"/>
        <w:ind w:firstLine="709"/>
      </w:pPr>
      <w:r>
        <w:rPr>
          <w:sz w:val="24"/>
        </w:rPr>
        <w:t xml:space="preserve">Системы оплаты труда работников государственных и муниципальных учреждений устанавливаются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 , а также с учетом государственных гарантий по оплате труда, рекомендаций Российской трехсторонней комиссии по регулированию социально-трудовых отношений ( часть третья статьи 135 настоящего Кодекса) и мнения соответствующих профсоюзов (объединений профсоюзов) и объединений работодателей.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Профессиональные квалификационные группы - группы профессий рабочих и должностей служащих, сформированные с учетом сферы деятельности на основе требований к уровню квалификации, которые необходимы для осуществления соответствующей профессиональной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Профессиональные квалификационные группы и критерии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>
      <w:pPr>
        <w:spacing w:after="120"/>
        <w:ind w:firstLine="709"/>
      </w:pPr>
      <w:r>
        <w:rPr>
          <w:sz w:val="24"/>
        </w:rPr>
        <w:t xml:space="preserve">Правительство Российской Федерации вправе утверждать требования к системам оплаты труда работников государственных и муниципальных учреждений, в том числе в части установления (дифференциации) окладов (должностных окладов), ставок заработной платы, перечней выплат компенсационного характера, стимулирующих выплат, условий назначения выплат компенсационного характера, стимулирующих выплат.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09.11.2020 N 362-ФЗ)</w:t>
      </w:r>
    </w:p>
    <w:p>
      <w:pPr>
        <w:spacing w:after="120"/>
        <w:ind w:firstLine="709"/>
      </w:pPr>
      <w:r>
        <w:rPr>
          <w:sz w:val="24"/>
        </w:rPr>
        <w:t xml:space="preserve">При утверждении Правительством Российской Федерации требований к системам оплаты труда работников государственных и муниципальных учреждений определяется сфера деятельности государственных и муниципальных учреждений, на которые распространяются указанные требования, а также срок, в течение которого таким учреждениям необходимо привести условия оплаты труда работников в соответствие с указанными требованиями.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09.11.2020 N 362-ФЗ)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144</dc:title>
  <dc:creator>АРБИТРАЖ! · arbi.ru</dc:creator>
  <cp:lastModifiedBy>АРБИТРАЖ!</cp:lastModifiedBy>
  <dcterms:created xsi:type="dcterms:W3CDTF">2026-10-23T10:59:45.958Z</dcterms:created>
</cp:coreProperties>
</file>