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147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147 ТК РФ</w:t>
      </w:r>
    </w:p>
    <w:p>
      <w:pPr>
        <w:spacing w:after="120"/>
        <w:ind w:firstLine="709"/>
      </w:pPr>
      <w:r>
        <w:rPr>
          <w:sz w:val="24"/>
        </w:rPr>
        <w:t xml:space="preserve">- Какие компенсации и в каком размере предусмотрены за работу с вредными и (или) опасными условиями труда</w:t>
      </w:r>
    </w:p>
    <w:p>
      <w:pPr>
        <w:spacing w:after="120"/>
        <w:ind w:firstLine="709"/>
      </w:pPr>
      <w:r>
        <w:rPr>
          <w:sz w:val="24"/>
        </w:rPr>
        <w:t xml:space="preserve">- Как оформить предоставление компенсаций (гарантий) за работу с вредными условиями труда в трудовом договоре</w:t>
      </w:r>
    </w:p>
    <w:p>
      <w:pPr>
        <w:spacing w:after="120"/>
        <w:ind w:firstLine="709"/>
      </w:pPr>
      <w:r>
        <w:rPr>
          <w:sz w:val="24"/>
        </w:rPr>
        <w:t xml:space="preserve">Оплата труда работников, занятых на работах с вредными и (или) опасными условиями труда, устанавливается в повышенном размере.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Минимальный размер повышения оплаты труда работникам, занятым на работах с вредными и (или) опасными условиями труда, составляет 4 процента тарифной ставки (оклада), установленной для различных видов работ с нормальными условиями труда.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Конкретные размеры повышения оплаты труда устанавливаются работодателем с учетом мнения представительного органа работников в порядке, установленном статьей 372 настоящего Кодекса для принятия локальных нормативных актов, либо коллективным договором,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147</dc:title>
  <dc:creator>АРБИТРАЖ! · arbi.ru</dc:creator>
  <cp:lastModifiedBy>АРБИТРАЖ!</cp:lastModifiedBy>
  <dcterms:created xsi:type="dcterms:W3CDTF">2026-10-23T14:32:06.215Z</dcterms:created>
</cp:coreProperties>
</file>