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150 ТК РФ</w:t>
      </w:r>
    </w:p>
    <w:p>
      <w:pPr>
        <w:spacing w:after="120"/>
        <w:ind w:firstLine="709"/>
      </w:pPr>
      <w:r>
        <w:rPr>
          <w:sz w:val="24"/>
        </w:rPr>
        <w:t xml:space="preserve">- Оплата труда при выполнении работ различной квалификации</w:t>
      </w:r>
    </w:p>
    <w:p>
      <w:pPr>
        <w:spacing w:after="120"/>
        <w:ind w:firstLine="709"/>
      </w:pPr>
      <w:r>
        <w:rPr>
          <w:sz w:val="24"/>
        </w:rPr>
        <w:t xml:space="preserve">При выполнении работником с повременной оплатой труда работ различной квалификации его труд оплачивается по работе более высокой квалификации.</w:t>
      </w:r>
    </w:p>
    <w:p>
      <w:pPr>
        <w:spacing w:after="120"/>
        <w:ind w:firstLine="709"/>
      </w:pPr>
      <w:r>
        <w:rPr>
          <w:sz w:val="24"/>
        </w:rPr>
        <w:t xml:space="preserve">При выполнении работником со сдельной оплатой труда работ различной квалификации его труд оплачивается по расценкам выполняемой им работы.</w:t>
      </w:r>
    </w:p>
    <w:p>
      <w:pPr>
        <w:spacing w:after="120"/>
        <w:ind w:firstLine="709"/>
      </w:pPr>
      <w:r>
        <w:rPr>
          <w:sz w:val="24"/>
        </w:rPr>
        <w:t xml:space="preserve">В случаях, когда с учетом характера производства работникам со сдельной оплатой труда поручается выполнение работ, тарифицируемых ниже присвоенных им разрядов, работодатель обязан выплатить им межразрядную разницу.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150</dc:title>
  <dc:creator>АРБИТРАЖ! · arbi.ru</dc:creator>
  <cp:lastModifiedBy>АРБИТРАЖ!</cp:lastModifiedBy>
  <dcterms:created xsi:type="dcterms:W3CDTF">2026-10-23T17:53:31.199Z</dcterms:created>
</cp:coreProperties>
</file>