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153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Вопросы применения ст. 153 ТК РФ</w:t>
      </w:r>
    </w:p>
    <w:p>
      <w:pPr>
        <w:spacing w:after="120"/>
        <w:ind w:firstLine="709"/>
      </w:pPr>
      <w:r>
        <w:rPr>
          <w:sz w:val="24"/>
        </w:rPr>
        <w:t xml:space="preserve">Готовые решения:</w:t>
      </w:r>
    </w:p>
    <w:p>
      <w:pPr>
        <w:spacing w:after="120"/>
        <w:ind w:firstLine="709"/>
      </w:pPr>
      <w:r>
        <w:rPr>
          <w:sz w:val="24"/>
        </w:rPr>
        <w:t xml:space="preserve">- Как рассчитать оплату труда в нерабочий праздничный день работнику, получающему оклад</w:t>
      </w:r>
    </w:p>
    <w:p>
      <w:pPr>
        <w:spacing w:after="120"/>
        <w:ind w:firstLine="709"/>
      </w:pPr>
      <w:r>
        <w:rPr>
          <w:sz w:val="24"/>
        </w:rPr>
        <w:t xml:space="preserve">- Как оплатить работу в выходной и праздничный день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работника за прогул при самовольном использовании дополнительного дня отдыха (отгула)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153 см. Постановление КС РФ от 28.06.2018 N 26-П.</w:t>
      </w:r>
    </w:p>
    <w:p>
      <w:pPr>
        <w:spacing w:after="120"/>
        <w:ind w:firstLine="709"/>
      </w:pPr>
      <w:r>
        <w:rPr>
          <w:sz w:val="24"/>
        </w:rPr>
        <w:t xml:space="preserve">Работа в выходной или нерабочий праздничный день оплачивается не менее чем в двойном размере:</w:t>
      </w:r>
    </w:p>
    <w:p>
      <w:pPr>
        <w:spacing w:after="120"/>
        <w:ind w:firstLine="709"/>
      </w:pPr>
      <w:r>
        <w:rPr>
          <w:sz w:val="24"/>
        </w:rPr>
        <w:t xml:space="preserve">сдельщикам - не менее чем по двойным сдельным расценкам;</w:t>
      </w:r>
    </w:p>
    <w:p>
      <w:pPr>
        <w:spacing w:after="120"/>
        <w:ind w:firstLine="709"/>
      </w:pPr>
      <w:r>
        <w:rPr>
          <w:sz w:val="24"/>
        </w:rPr>
        <w:t xml:space="preserve">работникам, труд которых оплачивается по дневным и часовым тарифным ставкам, - в размере не менее двойной дневной или часовой тарифной ставки;</w:t>
      </w:r>
    </w:p>
    <w:p>
      <w:pPr>
        <w:spacing w:after="120"/>
        <w:ind w:firstLine="709"/>
      </w:pPr>
      <w:r>
        <w:rPr>
          <w:sz w:val="24"/>
        </w:rPr>
        <w:t xml:space="preserve">работникам, получающим оклад (должностной оклад), - в размере не менее одинарной дневной или часовой ставки (части оклада (должностного оклада) за день или час работы)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не менее двойной дневной или часовой ставки (части оклада (должностного оклада) за день или час работы) сверх оклада (должностного оклада), если работа производилась сверх месячной нормы рабочего времени.</w:t>
      </w:r>
    </w:p>
    <w:p>
      <w:pPr>
        <w:spacing w:after="120"/>
        <w:ind w:firstLine="709"/>
      </w:pPr>
      <w:r>
        <w:rPr>
          <w:sz w:val="24"/>
        </w:rPr>
        <w:t xml:space="preserve">Конкретные размеры оплаты за работу в выходной или нерабочий праздничный день могут устанавливаться коллективным договором, локальным нормативным актом, принимаемым с учетом мнения представительного органа работников,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Оплата в повышенном размере производится всем работникам за часы, фактически отработанные в выходной или нерабочий праздничный день. Если на выходной или нерабочий праздничный день приходится часть рабочего дня (смены), в повышенном размере оплачиваются часы, фактически отработанные в выходной или нерабочий праздничный день (от 0 часов до 24 часов).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18.06.2017 N 125-ФЗ)</w:t>
      </w:r>
    </w:p>
    <w:p>
      <w:pPr>
        <w:spacing w:after="120"/>
        <w:ind w:firstLine="709"/>
      </w:pPr>
      <w:r>
        <w:rPr>
          <w:sz w:val="24"/>
        </w:rPr>
        <w:t xml:space="preserve"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>
      <w:pPr>
        <w:spacing w:after="120"/>
        <w:ind w:firstLine="709"/>
      </w:pPr>
      <w:r>
        <w:rPr>
          <w:sz w:val="24"/>
        </w:rPr>
        <w:t xml:space="preserve">День отдыха, указанный в части четвертой настоящей статьи, по желанию работника может быть использован в течение одного года со дня работы в выходной или нерабочий праздничный день либо присоединен к отпуску, предоставляемому в указанный период.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30.09.2024 N 339-ФЗ)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на день увольнения работника имеется день отдыха за работу в выходной или нерабочий праздничный день, не использованный им в период трудовой деятельности у работодателя, с которым прекращается трудовой договор, в день увольнения работнику выплачивается разница между оплатой работы в выходной или нерабочий праздничный день, полагавшейся ему в соответствии с частями первой - третьей настоящей статьи, и фактически произведенной оплатой работы в этот день. Указанная разница выплачивается работнику за все дни отдыха за работу в выходные или нерабочие праздничные дни, не использованные им в период трудовой деятельности у данного работодателя.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30.09.2024 N 339-ФЗ)</w:t>
      </w:r>
    </w:p>
    <w:p>
      <w:pPr>
        <w:spacing w:after="120"/>
        <w:ind w:firstLine="709"/>
      </w:pPr>
      <w:r>
        <w:rPr>
          <w:sz w:val="24"/>
        </w:rPr>
        <w:t xml:space="preserve">Оплата труда в выходные и нерабочие праздничные дни творческих работников средств массовой информации, организаций кинематографии, теле- и видеосъемочных коллективов, театров, театральных и концертных организаций, цирков и иных лиц, участвующих в создании и (или) исполнении (экспонировании) произведений, в соответствии с перечнями работ, профессий, должностей этих работников, утверждаемыми Правительством Российской Федерации с учетом мнения Российской трехсторонней комиссии по регулированию социально-трудовых отношений, может определяться на основании коллективного договора, локального нормативного акта, трудового договора.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28.02.2008 N 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153</dc:title>
  <dc:creator>АРБИТРАЖ! · arbi.ru</dc:creator>
  <cp:lastModifiedBy>АРБИТРАЖ!</cp:lastModifiedBy>
  <dcterms:created xsi:type="dcterms:W3CDTF">2026-10-23T20:46:29.384Z</dcterms:created>
</cp:coreProperties>
</file>