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154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21. Заработная плата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Готовые решения. Вопросы применения ст. 154 ТК РФ</w:t>
      </w:r>
    </w:p>
    <w:p>
      <w:pPr>
        <w:spacing w:after="120"/>
        <w:ind w:firstLine="709"/>
      </w:pPr>
      <w:r>
        <w:rPr>
          <w:sz w:val="24"/>
        </w:rPr>
        <w:t xml:space="preserve">- Как оплачивать часы работы в ночное время</w:t>
      </w:r>
    </w:p>
    <w:p>
      <w:pPr>
        <w:spacing w:after="120"/>
        <w:ind w:firstLine="709"/>
      </w:pPr>
      <w:r>
        <w:rPr>
          <w:sz w:val="24"/>
        </w:rPr>
        <w:t xml:space="preserve">Каждый час работы в ночное время оплачивается в повышенном размере по сравнению с работой в нормальных условиях, но не ниже размеров, установленных трудовым законодательством и иными нормативными правовыми актами, содержащими нормы трудового права.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Минимальные размеры повышения оплаты труда за работу в ночное время устанавливаются Правительством Российской Федерации с учетом мнения Российской трехсторонней комиссии по регулированию социально-трудовых отношений.</w:t>
      </w:r>
    </w:p>
    <w:p>
      <w:pPr>
        <w:spacing w:after="120"/>
        <w:ind w:firstLine="709"/>
      </w:pPr>
      <w:r>
        <w:rPr>
          <w:sz w:val="24"/>
        </w:rPr>
        <w:t xml:space="preserve">(часть вторая 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Конкретные размеры повышения оплаты труда за работу в ночное время устанавливаются коллективным договором, локальным нормативным актом, принимаемым с учетом мнения представительного органа работников, трудовым договором.</w:t>
      </w:r>
    </w:p>
    <w:p>
      <w:pPr>
        <w:spacing w:after="120"/>
        <w:ind w:firstLine="709"/>
      </w:pPr>
      <w:r>
        <w:rPr>
          <w:sz w:val="24"/>
        </w:rPr>
        <w:t xml:space="preserve">(часть третья введена Федеральным законом от 30.06.2006 N 90-ФЗ)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154</dc:title>
  <dc:creator>АРБИТРАЖ! · arbi.ru</dc:creator>
  <cp:lastModifiedBy>АРБИТРАЖ!</cp:lastModifiedBy>
  <dcterms:created xsi:type="dcterms:W3CDTF">2026-10-23T21:43:01.244Z</dcterms:created>
</cp:coreProperties>
</file>