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156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Брак не по вине работника оплачивается наравне с годными изделиями.</w:t>
      </w:r>
    </w:p>
    <w:p>
      <w:pPr>
        <w:spacing w:after="120"/>
        <w:ind w:firstLine="709"/>
      </w:pPr>
      <w:r>
        <w:rPr>
          <w:sz w:val="24"/>
        </w:rPr>
        <w:t xml:space="preserve">Полный брак по вине работника оплате не подлежит.</w:t>
      </w:r>
    </w:p>
    <w:p>
      <w:pPr>
        <w:spacing w:after="120"/>
        <w:ind w:firstLine="709"/>
      </w:pPr>
      <w:r>
        <w:rPr>
          <w:sz w:val="24"/>
        </w:rPr>
        <w:t xml:space="preserve">Частичный брак по вине работника оплачивается по пониженным расценкам в зависимости от степени годности продукции.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156</dc:title>
  <dc:creator>АРБИТРАЖ! · arbi.ru</dc:creator>
  <cp:lastModifiedBy>АРБИТРАЖ!</cp:lastModifiedBy>
  <dcterms:created xsi:type="dcterms:W3CDTF">2026-10-23T23:24:21.407Z</dcterms:created>
</cp:coreProperties>
</file>