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22. Нормирование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Работникам гарантируются:</w:t>
      </w:r>
    </w:p>
    <w:p>
      <w:pPr>
        <w:spacing w:after="120"/>
        <w:ind w:firstLine="709"/>
      </w:pPr>
      <w:r>
        <w:rPr>
          <w:sz w:val="24"/>
        </w:rPr>
        <w:t xml:space="preserve">государственное содействие системной организации нормирования труда;</w:t>
      </w:r>
    </w:p>
    <w:p>
      <w:pPr>
        <w:spacing w:after="120"/>
        <w:ind w:firstLine="709"/>
      </w:pPr>
      <w:r>
        <w:rPr>
          <w:sz w:val="24"/>
        </w:rPr>
        <w:t xml:space="preserve">применение систем нормирования труда, определяемых работодателем с учетом мнения представительного органа работников или устанавливаемых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159</dc:title>
  <dc:creator>АРБИТРАЖ! · arbi.ru</dc:creator>
  <cp:lastModifiedBy>АРБИТРАЖ!</cp:lastModifiedBy>
  <dcterms:created xsi:type="dcterms:W3CDTF">2026-10-24T02:45:12.524Z</dcterms:created>
</cp:coreProperties>
</file>