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22. Нормирование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Нормы труда - нормы выработки, времени, нормативы численности и другие нормы - устанавливаются в соответствии с достигнутым уровнем техники, технологии, организации производства и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Нормы труда могут быть пересмотрены по мере совершенствования или внедрения новой техники, технологии и проведения организационных либо иных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>
      <w:pPr>
        <w:spacing w:after="120"/>
        <w:ind w:firstLine="709"/>
      </w:pPr>
      <w:r>
        <w:rPr>
          <w:sz w:val="24"/>
        </w:rPr>
        <w:t xml:space="preserve">Достижение высокого уровня выработки продукции (оказания услуг)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160</dc:title>
  <dc:creator>АРБИТРАЖ! · arbi.ru</dc:creator>
  <cp:lastModifiedBy>АРБИТРАЖ!</cp:lastModifiedBy>
  <dcterms:created xsi:type="dcterms:W3CDTF">2026-10-24T03:42:01.292Z</dcterms:created>
</cp:coreProperties>
</file>