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162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22. Нормирование труда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Локальные нормативные акты, предусматривающие введение, замену и пересмотр норм труда, принимаются работодателем с учетом мнения представительного органа работников.</w:t>
      </w:r>
    </w:p>
    <w:p>
      <w:pPr>
        <w:spacing w:after="120"/>
        <w:ind w:firstLine="709"/>
      </w:pPr>
      <w:r>
        <w:rPr>
          <w:sz w:val="24"/>
        </w:rPr>
        <w:t xml:space="preserve">О введении новых норм труда работники должны быть извещены не позднее чем за два месяца.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162</dc:title>
  <dc:creator>АРБИТРАЖ! · arbi.ru</dc:creator>
  <cp:lastModifiedBy>АРБИТРАЖ!</cp:lastModifiedBy>
  <dcterms:created xsi:type="dcterms:W3CDTF">2026-10-24T03:43:19.930Z</dcterms:created>
</cp:coreProperties>
</file>