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166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24. Гарантии при направлении работников в служебные командировки, другие служебные поездки и переезде на работу в другую местность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166 ТК РФ</w:t>
      </w:r>
    </w:p>
    <w:p>
      <w:pPr>
        <w:spacing w:after="120"/>
        <w:ind w:firstLine="709"/>
      </w:pPr>
      <w:r>
        <w:rPr>
          <w:sz w:val="24"/>
        </w:rPr>
        <w:t xml:space="preserve">- Является ли служебной командировкой поездка, в которую направляется лицо, заключившее с работодателем гражданско-правовой договор, например договор подряда</w:t>
      </w:r>
    </w:p>
    <w:p>
      <w:pPr>
        <w:spacing w:after="120"/>
        <w:ind w:firstLine="709"/>
      </w:pPr>
      <w:r>
        <w:rPr>
          <w:sz w:val="24"/>
        </w:rPr>
        <w:t xml:space="preserve">- Какой срок установлен для служебной командировки</w:t>
      </w:r>
    </w:p>
    <w:p>
      <w:pPr>
        <w:spacing w:after="120"/>
        <w:ind w:firstLine="709"/>
      </w:pPr>
      <w:r>
        <w:rPr>
          <w:sz w:val="24"/>
        </w:rPr>
        <w:t xml:space="preserve">Служебная командировка - поездка работника по распоряжению работодателя на определенный срок для выполнения служебного поручения вне места постоянной работы. Служебные поездки работников, постоянная работа которых осуществляется в пути или имеет разъездной характер, служебными командировками не признаются.</w:t>
      </w:r>
    </w:p>
    <w:p>
      <w:pPr>
        <w:spacing w:after="120"/>
        <w:ind w:firstLine="709"/>
      </w:pPr>
      <w:r>
        <w:rPr>
          <w:sz w:val="24"/>
        </w:rPr>
        <w:t xml:space="preserve">Особенности направления работников в служебные командировки устанавливаются в порядке , определяемом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166</dc:title>
  <dc:creator>АРБИТРАЖ! · arbi.ru</dc:creator>
  <cp:lastModifiedBy>АРБИТРАЖ!</cp:lastModifiedBy>
  <dcterms:created xsi:type="dcterms:W3CDTF">2026-10-24T00:20:16.503Z</dcterms:created>
</cp:coreProperties>
</file>