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24. Гарантии при направлении работников в служебные командировки, другие служебные поездки и переезде на работу в другую местность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167 ТК РФ</w:t>
      </w:r>
    </w:p>
    <w:p>
      <w:pPr>
        <w:spacing w:after="120"/>
        <w:ind w:firstLine="709"/>
      </w:pPr>
      <w:r>
        <w:rPr>
          <w:sz w:val="24"/>
        </w:rPr>
        <w:t xml:space="preserve">- Как рассчитать средний заработок за дни командировки</w:t>
      </w:r>
    </w:p>
    <w:p>
      <w:pPr>
        <w:spacing w:after="120"/>
        <w:ind w:firstLine="709"/>
      </w:pPr>
      <w:r>
        <w:rPr>
          <w:sz w:val="24"/>
        </w:rPr>
        <w:t xml:space="preserve">- Как оплатить работу в командировке в районах Крайнего Севера и приравненных к ним местностях</w:t>
      </w:r>
    </w:p>
    <w:p>
      <w:pPr>
        <w:spacing w:after="120"/>
        <w:ind w:firstLine="709"/>
      </w:pPr>
      <w:r>
        <w:rPr>
          <w:sz w:val="24"/>
        </w:rPr>
        <w:t xml:space="preserve">При направлении работника в служебную командировку ему гарантируются сохранение места работы (должности) и среднего заработка , а также возмещение расходов, связанных со служебной командировкой.</w:t>
      </w:r>
    </w:p>
    <w:p>
      <w:pPr>
        <w:spacing w:after="120"/>
        <w:ind w:firstLine="709"/>
      </w:pPr>
      <w:r>
        <w:rPr>
          <w:sz w:val="24"/>
        </w:rPr>
        <w:t xml:space="preserve">Направление инвалидов в служебные командировки допускается только с их письменного согласия и при условии, если это не запрещено им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 При этом указанные работники должны быть в письменной форме ознакомлены со своим правом отказаться от направления в служебную командировку.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19.11.2021 N 372-ФЗ)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167</dc:title>
  <dc:creator>АРБИТРАЖ! · arbi.ru</dc:creator>
  <cp:lastModifiedBy>АРБИТРАЖ!</cp:lastModifiedBy>
  <dcterms:created xsi:type="dcterms:W3CDTF">2026-10-23T23:24:10.244Z</dcterms:created>
</cp:coreProperties>
</file>