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188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28. Другие гарантии и компенсации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Готовые решения. Вопросы применения ст. 188 ТК РФ</w:t>
      </w:r>
    </w:p>
    <w:p>
      <w:pPr>
        <w:spacing w:after="120"/>
        <w:ind w:firstLine="709"/>
      </w:pPr>
      <w:r>
        <w:rPr>
          <w:sz w:val="24"/>
        </w:rPr>
        <w:t xml:space="preserve">- Как оформить компенсацию за использование личного имущества работника</w:t>
      </w:r>
    </w:p>
    <w:p>
      <w:pPr>
        <w:spacing w:after="120"/>
        <w:ind w:firstLine="709"/>
      </w:pPr>
      <w:r>
        <w:rPr>
          <w:sz w:val="24"/>
        </w:rPr>
        <w:t xml:space="preserve">При использовании работником с согласия или ведома работодателя и в его интересах личного имущества работнику выплачивается компенсация за использование, износ (амортизацию) инструмента, личного транспорта, оборудования и других технических средств и материалов, принадлежащих работнику, а также возмещаются расходы, связанные с их использованием. Размер возмещения расходов определяется соглашением сторон трудового договора, выраженным в письменной форме.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188</dc:title>
  <dc:creator>АРБИТРАЖ! · arbi.ru</dc:creator>
  <cp:lastModifiedBy>АРБИТРАЖ!</cp:lastModifiedBy>
  <dcterms:created xsi:type="dcterms:W3CDTF">2026-10-23T14:33:03.439Z</dcterms:created>
</cp:coreProperties>
</file>