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195.1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03.12.2012 N 236-ФЗ)</w:t>
      </w:r>
    </w:p>
    <w:p>
      <w:pPr>
        <w:spacing w:after="120"/>
        <w:ind w:firstLine="709"/>
      </w:pPr>
      <w:r>
        <w:rPr>
          <w:sz w:val="24"/>
        </w:rPr>
        <w:t xml:space="preserve">Квалификация работника - уровень знаний, умений, профессиональных навыков и опыта работы работника.</w:t>
      </w:r>
    </w:p>
    <w:p>
      <w:pPr>
        <w:spacing w:after="120"/>
        <w:ind w:firstLine="709"/>
      </w:pPr>
      <w:r>
        <w:rPr>
          <w:sz w:val="24"/>
        </w:rPr>
        <w:t xml:space="preserve">Профессиональный стандарт - характеристика квалификации, необходимой работнику для осуществления определенного вида профессиональной деятельности, в том числе выполнения определенной трудовой функции.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Часть третья утратила силу с 1 июля 2016 года. - Федеральный закон от 02.05.2015 N 122-ФЗ.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195.1</dc:title>
  <dc:creator>АРБИТРАЖ! · arbi.ru</dc:creator>
  <cp:lastModifiedBy>АРБИТРАЖ!</cp:lastModifiedBy>
  <dcterms:created xsi:type="dcterms:W3CDTF">2026-10-23T14:32:19.701Z</dcterms:created>
</cp:coreProperties>
</file>