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197 ТК РФ</w:t>
      </w:r>
    </w:p>
    <w:p>
      <w:pPr>
        <w:spacing w:after="120"/>
        <w:ind w:firstLine="709"/>
      </w:pPr>
      <w:r>
        <w:rPr>
          <w:sz w:val="24"/>
        </w:rPr>
        <w:t xml:space="preserve">- Профессиональное образование и обучение, дополнительное профессиональное образование работников (лиц, ищущих работу)</w:t>
      </w:r>
    </w:p>
    <w:p>
      <w:pPr>
        <w:spacing w:after="120"/>
        <w:ind w:firstLine="709"/>
      </w:pPr>
      <w:r>
        <w:rPr>
          <w:sz w:val="24"/>
        </w:rPr>
        <w:t xml:space="preserve">Работники имеют право на подготовку и дополнительное профессиональное образование, а также на прохождение независимой оценки квалификации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03.07.2016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право реализуется путем заключения договора между работником и работодателем.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197</dc:title>
  <dc:creator>АРБИТРАЖ! · arbi.ru</dc:creator>
  <cp:lastModifiedBy>АРБИТРАЖ!</cp:lastModifiedBy>
  <dcterms:created xsi:type="dcterms:W3CDTF">2026-10-23T18:58:08.719Z</dcterms:created>
</cp:coreProperties>
</file>