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198 ТК РФ</w:t>
      </w:r>
    </w:p>
    <w:p>
      <w:pPr>
        <w:spacing w:after="120"/>
        <w:ind w:firstLine="709"/>
      </w:pPr>
      <w:r>
        <w:rPr>
          <w:sz w:val="24"/>
        </w:rPr>
        <w:t xml:space="preserve">- Как оформляется ученический договор</w:t>
      </w:r>
    </w:p>
    <w:p>
      <w:pPr>
        <w:spacing w:after="120"/>
        <w:ind w:firstLine="709"/>
      </w:pPr>
      <w:r>
        <w:rPr>
          <w:sz w:val="24"/>
        </w:rPr>
        <w:t xml:space="preserve">Работодатель - юридическое лицо (организация) имеет право заключать с лицом, ищущим работу, или с работником данной организации ученический договор на получение образования без отрыва или с отрывом от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Ученический договор с работником данной организации является дополнительным к трудовому договору.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198</dc:title>
  <dc:creator>АРБИТРАЖ! · arbi.ru</dc:creator>
  <cp:lastModifiedBy>АРБИТРАЖ!</cp:lastModifiedBy>
  <dcterms:created xsi:type="dcterms:W3CDTF">2026-10-23T19:50:28.816Z</dcterms:created>
</cp:coreProperties>
</file>