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200 ТК РФ</w:t>
      </w:r>
    </w:p>
    <w:p>
      <w:pPr>
        <w:spacing w:after="120"/>
        <w:ind w:firstLine="709"/>
      </w:pPr>
      <w:r>
        <w:rPr>
          <w:sz w:val="24"/>
        </w:rPr>
        <w:t xml:space="preserve">- Форма ученического договора</w:t>
      </w:r>
    </w:p>
    <w:p>
      <w:pPr>
        <w:spacing w:after="120"/>
        <w:ind w:firstLine="709"/>
      </w:pPr>
      <w:r>
        <w:rPr>
          <w:sz w:val="24"/>
        </w:rPr>
        <w:t xml:space="preserve">Ученический договор заключается на срок, необходимый для получения данной квалификации.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Ученический договор заключается в письменной форме в двух экземплярах.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200</dc:title>
  <dc:creator>АРБИТРАЖ! · arbi.ru</dc:creator>
  <cp:lastModifiedBy>АРБИТРАЖ!</cp:lastModifiedBy>
  <dcterms:created xsi:type="dcterms:W3CDTF">2026-10-23T21:42:33.389Z</dcterms:created>
</cp:coreProperties>
</file>