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202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32. Ученический договор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202 ТК РФ</w:t>
      </w:r>
    </w:p>
    <w:p>
      <w:pPr>
        <w:spacing w:after="120"/>
        <w:ind w:firstLine="709"/>
      </w:pPr>
      <w:r>
        <w:rPr>
          <w:sz w:val="24"/>
        </w:rPr>
        <w:t xml:space="preserve">- Организационные формы ученичества</w:t>
      </w:r>
    </w:p>
    <w:p>
      <w:pPr>
        <w:spacing w:after="120"/>
        <w:ind w:firstLine="709"/>
      </w:pPr>
      <w:r>
        <w:rPr>
          <w:sz w:val="24"/>
        </w:rPr>
        <w:t xml:space="preserve">Ученичество организуется в форме индивидуального, бригадного, курсового обучения и в иных формах.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202</dc:title>
  <dc:creator>АРБИТРАЖ! · arbi.ru</dc:creator>
  <cp:lastModifiedBy>АРБИТРАЖ!</cp:lastModifiedBy>
  <dcterms:created xsi:type="dcterms:W3CDTF">2026-10-23T23:23:58.926Z</dcterms:created>
</cp:coreProperties>
</file>