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204 ТК РФ</w:t>
      </w:r>
    </w:p>
    <w:p>
      <w:pPr>
        <w:spacing w:after="120"/>
        <w:ind w:firstLine="709"/>
      </w:pPr>
      <w:r>
        <w:rPr>
          <w:sz w:val="24"/>
        </w:rPr>
        <w:t xml:space="preserve">- Оплата ученичества</w:t>
      </w:r>
    </w:p>
    <w:p>
      <w:pPr>
        <w:spacing w:after="120"/>
        <w:ind w:firstLine="709"/>
      </w:pPr>
      <w:r>
        <w:rPr>
          <w:sz w:val="24"/>
        </w:rPr>
        <w:t xml:space="preserve">Ученикам в период ученичества выплачивается стипендия, размер которой определяется ученическим договором и зависит от получаемой квалификации, но не может быть ниже установленного федеральным законом минимального размера оплаты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Работа, выполняемая учеником на практических занятиях, оплачивается по установленным расценкам.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204</dc:title>
  <dc:creator>АРБИТРАЖ! · arbi.ru</dc:creator>
  <cp:lastModifiedBy>АРБИТРАЖ!</cp:lastModifiedBy>
  <dcterms:created xsi:type="dcterms:W3CDTF">2026-10-24T01:10:03.930Z</dcterms:created>
</cp:coreProperties>
</file>