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34. Государственное управление охраной труда и требования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211 ТК РФ</w:t>
      </w:r>
    </w:p>
    <w:p>
      <w:pPr>
        <w:spacing w:after="120"/>
        <w:ind w:firstLine="709"/>
      </w:pPr>
      <w:r>
        <w:rPr>
          <w:sz w:val="24"/>
        </w:rPr>
        <w:t xml:space="preserve">- Государственное управление охраной труда</w:t>
      </w:r>
    </w:p>
    <w:p>
      <w:pPr>
        <w:spacing w:after="120"/>
        <w:ind w:firstLine="709"/>
      </w:pPr>
      <w:r>
        <w:rPr>
          <w:sz w:val="24"/>
        </w:rPr>
        <w:t xml:space="preserve">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а также другими федеральными органами исполнительной власти в пределах их полномочий.</w:t>
      </w:r>
    </w:p>
    <w:p>
      <w:pPr>
        <w:spacing w:after="120"/>
        <w:ind w:firstLine="709"/>
      </w:pPr>
      <w:r>
        <w:rPr>
          <w:sz w:val="24"/>
        </w:rPr>
        <w:t xml:space="preserve">Федеральные органы исполнительной власти, которым предоставлено право осуществлять отдельные функции по нормативно-правовому регулированию, специальные разрешительные, надзорные и контрольные функции в области охраны труда, обязаны согласовывать принимаемые ими решения в области охраны труда, а также координировать свою деятельность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труда.</w:t>
      </w:r>
    </w:p>
    <w:p>
      <w:pPr>
        <w:spacing w:after="120"/>
        <w:ind w:firstLine="709"/>
      </w:pPr>
      <w:r>
        <w:rPr>
          <w:sz w:val="24"/>
        </w:rPr>
        <w:t xml:space="preserve">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полномочий.</w:t>
      </w:r>
    </w:p>
    <w:p>
      <w:pPr>
        <w:spacing w:after="120"/>
        <w:ind w:firstLine="709"/>
      </w:pPr>
      <w:r>
        <w:rPr>
          <w:sz w:val="24"/>
        </w:rPr>
        <w:t xml:space="preserve">Отдельные полномочия органов государственной власти субъектов Российской Федерации в области охраны труда по государственному управлению охраной труда на территории субъекта Российской Федерации могут быть переданы органам местного самоуправления в порядке и на условиях, которые определяются федеральными законами и законами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211</dc:title>
  <dc:creator>АРБИТРАЖ! · arbi.ru</dc:creator>
  <cp:lastModifiedBy>АРБИТРАЖ!</cp:lastModifiedBy>
  <dcterms:created xsi:type="dcterms:W3CDTF">2026-10-24T08:34:54.501Z</dcterms:created>
</cp:coreProperties>
</file>