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211.2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34. Государственное управление охраной труда и требования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В целях государственного управления охраной труда уполномоченные федеральные органы исполнительной власти:</w:t>
      </w:r>
    </w:p>
    <w:p>
      <w:pPr>
        <w:spacing w:after="120"/>
        <w:ind w:firstLine="709"/>
      </w:pPr>
      <w:r>
        <w:rPr>
          <w:sz w:val="24"/>
        </w:rPr>
        <w:t xml:space="preserve">разрабатывают нормативные правовые акты, определяющие основы государственного управления охраной труда;</w:t>
      </w:r>
    </w:p>
    <w:p>
      <w:pPr>
        <w:spacing w:after="120"/>
        <w:ind w:firstLine="709"/>
      </w:pPr>
      <w:r>
        <w:rPr>
          <w:sz w:val="24"/>
        </w:rPr>
        <w:t xml:space="preserve">разрабатывают мероприятия по улучшению условий и охраны труда, в том числе для их включения в государственные программы Российской Федерации, и обеспечивают контроль за выполнением указанных мероприятий;</w:t>
      </w:r>
    </w:p>
    <w:p>
      <w:pPr>
        <w:spacing w:after="120"/>
        <w:ind w:firstLine="709"/>
      </w:pPr>
      <w:r>
        <w:rPr>
          <w:sz w:val="24"/>
        </w:rPr>
        <w:t xml:space="preserve">разрабатывают меры стимулирования деятельности работодателей по улучшению условий и охраны труда работников;</w:t>
      </w:r>
    </w:p>
    <w:p>
      <w:pPr>
        <w:spacing w:after="120"/>
        <w:ind w:firstLine="709"/>
      </w:pPr>
      <w:r>
        <w:rPr>
          <w:sz w:val="24"/>
        </w:rPr>
        <w:t xml:space="preserve">устанавливают основные требования к порядку разработки и содержанию правил и инструкций по охране труда, разрабатываемых работодателями;</w:t>
      </w:r>
    </w:p>
    <w:p>
      <w:pPr>
        <w:spacing w:after="120"/>
        <w:ind w:firstLine="709"/>
      </w:pPr>
      <w:r>
        <w:rPr>
          <w:sz w:val="24"/>
        </w:rPr>
        <w:t xml:space="preserve">устанавливают порядок обеспечения работников за счет средств работодателей средствами индивидуальной и коллективной защиты, а также санитарно-бытовыми помещениями и устройствами;</w:t>
      </w:r>
    </w:p>
    <w:p>
      <w:pPr>
        <w:spacing w:after="120"/>
        <w:ind w:firstLine="709"/>
      </w:pPr>
      <w:r>
        <w:rPr>
          <w:sz w:val="24"/>
        </w:rPr>
        <w:t xml:space="preserve">определяют примерный перечень, формы информационных материалов и рекомендации по их размещению работодателями в целях информирования работников об их трудовых правах, включая право на безопасные условия труда;</w:t>
      </w:r>
    </w:p>
    <w:p>
      <w:pPr>
        <w:spacing w:after="120"/>
        <w:ind w:firstLine="709"/>
      </w:pPr>
      <w:r>
        <w:rPr>
          <w:sz w:val="24"/>
        </w:rPr>
        <w:t xml:space="preserve">устанавливают порядок проведения специальной оценки условий труда;</w:t>
      </w:r>
    </w:p>
    <w:p>
      <w:pPr>
        <w:spacing w:after="120"/>
        <w:ind w:firstLine="709"/>
      </w:pPr>
      <w:r>
        <w:rPr>
          <w:sz w:val="24"/>
        </w:rPr>
        <w:t xml:space="preserve">устанавливают порядок осуществления государственной экспертизы условий труда и в случаях, предусмотренных настоящим Кодексом, проводят указанную экспертизу;</w:t>
      </w:r>
    </w:p>
    <w:p>
      <w:pPr>
        <w:spacing w:after="120"/>
        <w:ind w:firstLine="709"/>
      </w:pPr>
      <w:r>
        <w:rPr>
          <w:sz w:val="24"/>
        </w:rPr>
        <w:t xml:space="preserve">устанавливают особенности расследования несчастных случаев на производстве в отдельных отраслях и организациях, формы соответствующих документов, классификаторы, необходимые для расследования несчастных случаев на производстве, и в случаях, предусмотренных настоящим Кодексом , проводят расследования несчастных случаев на производстве или участвуют в их проведении;</w:t>
      </w:r>
    </w:p>
    <w:p>
      <w:pPr>
        <w:spacing w:after="120"/>
        <w:ind w:firstLine="709"/>
      </w:pPr>
      <w:r>
        <w:rPr>
          <w:sz w:val="24"/>
        </w:rPr>
        <w:t xml:space="preserve">организуют и координируют научно-исследовательские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труда;</w:t>
      </w:r>
    </w:p>
    <w:p>
      <w:pPr>
        <w:spacing w:after="120"/>
        <w:ind w:firstLine="709"/>
      </w:pPr>
      <w:r>
        <w:rPr>
          <w:sz w:val="24"/>
        </w:rPr>
        <w:t xml:space="preserve">организуют международное сотрудничество в области охраны труда;</w:t>
      </w:r>
    </w:p>
    <w:p>
      <w:pPr>
        <w:spacing w:after="120"/>
        <w:ind w:firstLine="709"/>
      </w:pPr>
      <w:r>
        <w:rPr>
          <w:sz w:val="24"/>
        </w:rPr>
        <w:t xml:space="preserve">организуют и проводят мониторинг состояния условий и охраны труда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обеспечивают функционирование информационной системы охраны труда;</w:t>
      </w:r>
    </w:p>
    <w:p>
      <w:pPr>
        <w:spacing w:after="120"/>
        <w:ind w:firstLine="709"/>
      </w:pPr>
      <w:r>
        <w:rPr>
          <w:sz w:val="24"/>
        </w:rPr>
        <w:t xml:space="preserve">осуществляют иные полномочия в области охраны труда в соответствии с настоящим Кодексом, федеральными законами и иными нормативными правовыми актами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211.2</dc:title>
  <dc:creator>АРБИТРАЖ! · arbi.ru</dc:creator>
  <cp:lastModifiedBy>АРБИТРАЖ!</cp:lastModifiedBy>
  <dcterms:created xsi:type="dcterms:W3CDTF">2026-10-24T10:30:35.594Z</dcterms:created>
</cp:coreProperties>
</file>