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212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34. Государственное управление охраной труда и требования охраны труда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311-ФЗ)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212 ТК РФ</w:t>
      </w:r>
    </w:p>
    <w:p>
      <w:pPr>
        <w:spacing w:after="120"/>
        <w:ind w:firstLine="709"/>
      </w:pPr>
      <w:r>
        <w:rPr>
          <w:sz w:val="24"/>
        </w:rPr>
        <w:t xml:space="preserve">- Государственные нормативные требования охраны труда</w:t>
      </w:r>
    </w:p>
    <w:p>
      <w:pPr>
        <w:spacing w:after="120"/>
        <w:ind w:firstLine="709"/>
      </w:pPr>
      <w:r>
        <w:rPr>
          <w:sz w:val="24"/>
        </w:rPr>
        <w:t xml:space="preserve">Государственными нормативными требованиями охраны труда устанавливаются правила, процедуры, критерии и нормативы, направленные на сохранение жизни и здоровья работников в процессе трудовой деятельности.</w:t>
      </w:r>
    </w:p>
    <w:p>
      <w:pPr>
        <w:spacing w:after="120"/>
        <w:ind w:firstLine="709"/>
      </w:pPr>
      <w:r>
        <w:rPr>
          <w:sz w:val="24"/>
        </w:rPr>
        <w:t xml:space="preserve">Государственные нормативные требования охраны труда содержатся в федеральных законах, законах субъектов Российской Федерации, постановлениях Правительства Российской Федерации, нормативных правовых актах, утверждаемых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труда, нормативных правовых актах органов исполнительной власти субъектов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Государственные нормативные требования охраны труда обязательны для исполнения юридическими и физическими лицами при осуществлении ими любых видов деятельности, в том числе при проектировании, строительстве (реконструкции) и эксплуатации объектов, конструировании машин, механизмов и другого производственного оборудования, разработке технологических процессов, организации производства и труда.</w:t>
      </w:r>
    </w:p>
    <w:p>
      <w:pPr>
        <w:spacing w:after="120"/>
        <w:ind w:firstLine="709"/>
      </w:pPr>
      <w:r>
        <w:rPr>
          <w:sz w:val="24"/>
        </w:rPr>
        <w:t xml:space="preserve">К нормативным правовым актам, утверждаемым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труда, и содержащим государственные нормативные требования охраны труда, относятся:</w:t>
      </w:r>
    </w:p>
    <w:p>
      <w:pPr>
        <w:spacing w:after="120"/>
        <w:ind w:firstLine="709"/>
      </w:pPr>
      <w:r>
        <w:rPr>
          <w:sz w:val="24"/>
        </w:rPr>
        <w:t xml:space="preserve">правила по охране труда, а также иные нормативные правовые акты, содержащие государственные нормативные требования охраны труда, предусмотренные настоящим Кодексом;</w:t>
      </w:r>
    </w:p>
    <w:p>
      <w:pPr>
        <w:spacing w:after="120"/>
        <w:ind w:firstLine="709"/>
      </w:pPr>
      <w:r>
        <w:rPr>
          <w:sz w:val="24"/>
        </w:rPr>
        <w:t xml:space="preserve">единые типовые нормы бесплатной выдачи работникам средств индивидуальной защиты.</w:t>
      </w:r>
    </w:p>
    <w:p>
      <w:pPr>
        <w:spacing w:after="120"/>
        <w:ind w:firstLine="709"/>
      </w:pPr>
      <w:r>
        <w:rPr>
          <w:sz w:val="24"/>
        </w:rPr>
        <w:t xml:space="preserve">Государственные нормативные требования охраны труда утверждаются с учетом мнения Российской трехсторонней комиссии по регулированию социально-трудовых отношений.</w:t>
      </w:r>
    </w:p>
    <w:p>
      <w:pPr>
        <w:spacing w:after="120"/>
        <w:ind w:firstLine="709"/>
      </w:pPr>
      <w:r>
        <w:rPr>
          <w:sz w:val="24"/>
        </w:rPr>
        <w:t xml:space="preserve">Порядок разработки, утверждения и изменения государственных нормативных требований охраны труда устанавливается Правительством Российской Федерации с учетом мнения Российской трехсторонней комиссии по регулированию социально-трудовых отношений.</w:t>
      </w:r>
    </w:p>
    <w:p>
      <w:pPr>
        <w:spacing w:after="120"/>
        <w:ind w:firstLine="709"/>
      </w:pPr>
      <w:r>
        <w:rPr>
          <w:sz w:val="24"/>
        </w:rPr>
        <w:t xml:space="preserve">В целях содействия соблюдению правил по охране труда разрабатываются и утверждаются уполномоченным федеральным органом исполнительной власти национальные стандарты безопасности труда. Порядок разработки, утверждения и применения национальных стандартов безопасности труда определяется законодательством Российской Федерации о стандартизации.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212</dc:title>
  <dc:creator>АРБИТРАЖ! · arbi.ru</dc:creator>
  <cp:lastModifiedBy>АРБИТРАЖ!</cp:lastModifiedBy>
  <dcterms:created xsi:type="dcterms:W3CDTF">2026-10-24T12:32:45.226Z</dcterms:created>
</cp:coreProperties>
</file>