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226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36.1. Расследование, оформление (рассмотрение), учет микроповреждений (микротравм), несчастных случаев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02.07.2021 N 311-ФЗ)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Для целей настоящего Кодекса под микроповреждениями (микротравмами) понимаются ссадины, кровоподтеки, ушибы мягких тканей, поверхностные раны и другие повреждения, полученные работниками и другими лицами, участвующими в производственной деятельности работодателя, указанными в части второй статьи 227 настоящего Кодекса, при исполнении ими трудовых обязанностей или выполнении какой-либо работы по поручению работодателя (его представителя), а также при осуществлении иных правомерных действий, обусловленных трудовыми отношениями с работодателем либо совершаемых в его интересах, не повлекшие расстройства здоровья или наступление временной нетрудоспособности (далее - микроповреждения (микротравмы) работников).</w:t>
      </w:r>
    </w:p>
    <w:p>
      <w:pPr>
        <w:spacing w:after="120"/>
        <w:ind w:firstLine="709"/>
      </w:pPr>
      <w:r>
        <w:rPr>
          <w:sz w:val="24"/>
        </w:rPr>
        <w:t xml:space="preserve">В целях предупреждения производственного травматизма и профессиональных заболеваний работодатель самостоятельно осуществляет учет и рассмотрение обстоятельств и причин, приведших к возникновению микроповреждений (микротравм) работников.</w:t>
      </w:r>
    </w:p>
    <w:p>
      <w:pPr>
        <w:spacing w:after="120"/>
        <w:ind w:firstLine="709"/>
      </w:pPr>
      <w:r>
        <w:rPr>
          <w:sz w:val="24"/>
        </w:rPr>
        <w:t xml:space="preserve">Основанием для регистрации микроповреждения (микротравмы) работника и рассмотрения обстоятельств и причин, приведших к его возникновению, является обращение пострадавшего к своему непосредственному или вышестоящему руководителю, работодателю (его представителю).</w:t>
      </w:r>
    </w:p>
    <w:p>
      <w:pPr>
        <w:spacing w:after="120"/>
        <w:ind w:firstLine="709"/>
      </w:pPr>
      <w:r>
        <w:rPr>
          <w:sz w:val="24"/>
        </w:rPr>
        <w:t xml:space="preserve">Рекомендации по учету микроповреждений (микротравм) работников утверждаются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труда, с учетом мнения Российской трехсторонней комиссии по регулированию социально-трудовых отношений.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226</dc:title>
  <dc:creator>АРБИТРАЖ! · arbi.ru</dc:creator>
  <cp:lastModifiedBy>АРБИТРАЖ!</cp:lastModifiedBy>
  <dcterms:created xsi:type="dcterms:W3CDTF">2026-10-24T21:40:07.806Z</dcterms:created>
</cp:coreProperties>
</file>