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37.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232 ТК РФ</w:t>
      </w:r>
    </w:p>
    <w:p>
      <w:pPr>
        <w:spacing w:after="120"/>
        <w:ind w:firstLine="709"/>
      </w:pPr>
      <w:r>
        <w:rPr>
          <w:sz w:val="24"/>
        </w:rPr>
        <w:t xml:space="preserve">- Случаи и условия наступления материальной ответственности работника</w:t>
      </w:r>
    </w:p>
    <w:p>
      <w:pPr>
        <w:spacing w:after="120"/>
        <w:ind w:firstLine="709"/>
      </w:pPr>
      <w:r>
        <w:rPr>
          <w:sz w:val="24"/>
        </w:rPr>
        <w:t xml:space="preserve">- Случаи и условия наступления материальной ответственности работодателя</w:t>
      </w:r>
    </w:p>
    <w:p>
      <w:pPr>
        <w:spacing w:after="120"/>
        <w:ind w:firstLine="709"/>
      </w:pPr>
      <w:r>
        <w:rPr>
          <w:sz w:val="24"/>
        </w:rPr>
        <w:t xml:space="preserve">Сторона трудового договора (работодатель или работник), причинившая ущерб другой стороне, возмещает этот ущерб в соответствии с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Трудовым договором или заключаемыми в письменной форме соглашениями, прилагаемыми к нему, может конкретизироваться материальная ответственность сторон этого договора. При этом договорная ответственность работодателя перед работником не может быть ниже, а работника перед работодателем - выше, чем это предусмотрено настоящим Кодексом или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Расторжение трудового договора после причинения ущерба не влечет за собой освобождения стороны этого договора от материальной ответственности, предусмотренной настоящим Кодексом или иными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232</dc:title>
  <dc:creator>АРБИТРАЖ! · arbi.ru</dc:creator>
  <cp:lastModifiedBy>АРБИТРАЖ!</cp:lastModifiedBy>
  <dcterms:created xsi:type="dcterms:W3CDTF">2026-10-23T08:20:33.039Z</dcterms:created>
</cp:coreProperties>
</file>