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233 ТК РФ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работника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работодателя</w:t>
      </w:r>
    </w:p>
    <w:p>
      <w:pPr>
        <w:spacing w:after="120"/>
        <w:ind w:firstLine="709"/>
      </w:pPr>
      <w:r>
        <w:rPr>
          <w:sz w:val="24"/>
        </w:rPr>
        <w:t xml:space="preserve">Материальная ответственность стороны трудового договора наступает за ущерб, причиненный ею другой стороне этого договора в результате ее виновного противоправного поведения (действий или бездействия), если иное не предусмотрено настоящим Кодексом или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Каждая из сторон трудового договора обязана доказать размер причиненного ей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233</dc:title>
  <dc:creator>АРБИТРАЖ! · arbi.ru</dc:creator>
  <cp:lastModifiedBy>АРБИТРАЖ!</cp:lastModifiedBy>
  <dcterms:created xsi:type="dcterms:W3CDTF">2026-10-23T07:27:42.109Z</dcterms:created>
</cp:coreProperties>
</file>