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235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38. Материальная ответственность работодателя перед работником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235 ТК РФ</w:t>
      </w:r>
    </w:p>
    <w:p>
      <w:pPr>
        <w:spacing w:after="120"/>
        <w:ind w:firstLine="709"/>
      </w:pPr>
      <w:r>
        <w:rPr>
          <w:sz w:val="24"/>
        </w:rPr>
        <w:t xml:space="preserve">- Материальная ответственность работодателя за причинение ущерба имуществу работника</w:t>
      </w:r>
    </w:p>
    <w:p>
      <w:pPr>
        <w:spacing w:after="120"/>
        <w:ind w:firstLine="709"/>
      </w:pPr>
      <w:r>
        <w:rPr>
          <w:sz w:val="24"/>
        </w:rPr>
        <w:t xml:space="preserve">Работодатель, причинивший ущерб имуществу работника, возмещает этот ущерб в полном объеме. Размер ущерба исчисляется по рыночным ценам, действующим в данной местности на день возмещения ущерба.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согласии работника ущерб может быть возмещен в натуре.</w:t>
      </w:r>
    </w:p>
    <w:p>
      <w:pPr>
        <w:spacing w:after="120"/>
        <w:ind w:firstLine="709"/>
      </w:pPr>
      <w:r>
        <w:rPr>
          <w:sz w:val="24"/>
        </w:rPr>
        <w:t xml:space="preserve">Заявление работника о возмещении ущерба направляется им работодателю. Работодатель обязан рассмотреть поступившее заявление и принять соответствующее решение в десятидневный срок со дня его поступления. При несогласии работника с решением работодателя или неполучении ответа в установленный срок работник имеет право обратиться в суд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235</dc:title>
  <dc:creator>АРБИТРАЖ! · arbi.ru</dc:creator>
  <cp:lastModifiedBy>АРБИТРАЖ!</cp:lastModifiedBy>
  <dcterms:created xsi:type="dcterms:W3CDTF">2026-10-23T05:34:04.009Z</dcterms:created>
</cp:coreProperties>
</file>